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1 Hands On Lab</w:t>
      </w:r>
    </w:p>
    <w:p>
      <w:pPr>
        <w:pStyle w:val="Title"/>
      </w:pPr>
      <w:r>
        <w:t>Platform and Instance Navigation</w:t>
      </w:r>
    </w:p>
    <w:p>
      <w:r>
        <w:t>Identify your instance, navigate the platform, open a list and a form, and record where later exercises will be completed.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40 to 60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An approved practice instance and an account supplied by the instructor. No earlier lab is required.</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Explore your practice environment</w:t>
      </w:r>
    </w:p>
    <w:p>
      <w:r>
        <w:t>NS Technologies wants a training service in ServiceNow. Before configuring it, you must know which environment you are using and how to find records.</w:t>
      </w:r>
    </w:p>
    <w:p>
      <w:pPr>
        <w:pStyle w:val="Heading2"/>
      </w:pPr>
      <w:r>
        <w:t>Record the environment</w:t>
      </w:r>
    </w:p>
    <w:p>
      <w:pPr>
        <w:ind w:left="274" w:hanging="274"/>
      </w:pPr>
      <w:r>
        <w:t>1. Open the practice URL supplied by your instructor. Confirm the hostname before signing in. Do not use a production environment for this series.</w:t>
      </w:r>
    </w:p>
    <w:p>
      <w:pPr>
        <w:ind w:left="274" w:hanging="274"/>
      </w:pPr>
      <w:r>
        <w:t>2. Use the Help or About information available in your interface, or ask the administrator, to identify the release and patch. Record what you actually find instead of assuming it is Australia.</w:t>
      </w:r>
    </w:p>
    <w:p>
      <w:pPr>
        <w:ind w:left="274" w:hanging="274"/>
      </w:pPr>
      <w:r>
        <w:t>3. Record your signed-in user. Locate the profile menu and the All navigation menu. The navigation layout may differ between Core UI, workspaces and employee portals.</w:t>
      </w:r>
    </w:p>
    <w:p>
      <w:pPr>
        <w:ind w:left="274" w:hanging="274"/>
      </w:pPr>
      <w:r>
        <w:t>4. Ask which application scope you should use. Our configuration labs use Global. Scope is a configuration context, not the name of the instance.</w:t>
      </w:r>
    </w:p>
    <w:p>
      <w:pPr>
        <w:ind w:left="274" w:hanging="274"/>
      </w:pPr>
      <w:r>
        <w:t>5. Record the approved employee interface URL separately if your instance has one. A portal and the administrative interface can access the same instance.</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Environment detail</w:t>
            </w:r>
          </w:p>
        </w:tc>
        <w:tc>
          <w:tcPr>
            <w:tcW w:type="dxa" w:w="4946"/>
            <w:shd w:fill="E4EEF0"/>
          </w:tcPr>
          <w:p>
            <w:pPr>
              <w:spacing w:after="60" w:before="60"/>
            </w:pPr>
            <w:r>
              <w:rPr>
                <w:b/>
                <w:sz w:val="18"/>
              </w:rPr>
              <w:t>Your answer</w:t>
            </w:r>
          </w:p>
        </w:tc>
      </w:tr>
      <w:tr>
        <w:trPr>
          <w:cantSplit/>
        </w:trPr>
        <w:tc>
          <w:tcPr>
            <w:tcW w:type="dxa" w:w="4946"/>
          </w:tcPr>
          <w:p>
            <w:pPr>
              <w:spacing w:after="60" w:before="60"/>
            </w:pPr>
            <w:r>
              <w:rPr>
                <w:sz w:val="18"/>
              </w:rPr>
              <w:t>Practice instance URL</w:t>
            </w:r>
          </w:p>
        </w:tc>
        <w:tc>
          <w:tcPr>
            <w:tcW w:type="dxa" w:w="4946"/>
          </w:tcPr>
          <w:p>
            <w:pPr>
              <w:spacing w:after="60" w:before="60"/>
            </w:pPr>
            <w:r>
              <w:rPr>
                <w:sz w:val="18"/>
              </w:rPr>
              <w:t>____________________________</w:t>
            </w:r>
          </w:p>
        </w:tc>
      </w:tr>
      <w:tr>
        <w:trPr>
          <w:cantSplit/>
        </w:trPr>
        <w:tc>
          <w:tcPr>
            <w:tcW w:type="dxa" w:w="4946"/>
          </w:tcPr>
          <w:p>
            <w:pPr>
              <w:spacing w:after="60" w:before="60"/>
            </w:pPr>
            <w:r>
              <w:rPr>
                <w:sz w:val="18"/>
              </w:rPr>
              <w:t>Release and patch</w:t>
            </w:r>
          </w:p>
        </w:tc>
        <w:tc>
          <w:tcPr>
            <w:tcW w:type="dxa" w:w="4946"/>
          </w:tcPr>
          <w:p>
            <w:pPr>
              <w:spacing w:after="60" w:before="60"/>
            </w:pPr>
            <w:r>
              <w:rPr>
                <w:sz w:val="18"/>
              </w:rPr>
              <w:t>____________________________</w:t>
            </w:r>
          </w:p>
        </w:tc>
      </w:tr>
      <w:tr>
        <w:trPr>
          <w:cantSplit/>
        </w:trPr>
        <w:tc>
          <w:tcPr>
            <w:tcW w:type="dxa" w:w="4946"/>
          </w:tcPr>
          <w:p>
            <w:pPr>
              <w:spacing w:after="60" w:before="60"/>
            </w:pPr>
            <w:r>
              <w:rPr>
                <w:sz w:val="18"/>
              </w:rPr>
              <w:t>Setup account and role</w:t>
            </w:r>
          </w:p>
        </w:tc>
        <w:tc>
          <w:tcPr>
            <w:tcW w:type="dxa" w:w="4946"/>
          </w:tcPr>
          <w:p>
            <w:pPr>
              <w:spacing w:after="60" w:before="60"/>
            </w:pPr>
            <w:r>
              <w:rPr>
                <w:sz w:val="18"/>
              </w:rPr>
              <w:t>____________________________</w:t>
            </w:r>
          </w:p>
        </w:tc>
      </w:tr>
      <w:tr>
        <w:trPr>
          <w:cantSplit/>
        </w:trPr>
        <w:tc>
          <w:tcPr>
            <w:tcW w:type="dxa" w:w="4946"/>
          </w:tcPr>
          <w:p>
            <w:pPr>
              <w:spacing w:after="60" w:before="60"/>
            </w:pPr>
            <w:r>
              <w:rPr>
                <w:sz w:val="18"/>
              </w:rPr>
              <w:t>Employee interface URL</w:t>
            </w:r>
          </w:p>
        </w:tc>
        <w:tc>
          <w:tcPr>
            <w:tcW w:type="dxa" w:w="4946"/>
          </w:tcPr>
          <w:p>
            <w:pPr>
              <w:spacing w:after="60" w:before="60"/>
            </w:pPr>
            <w:r>
              <w:rPr>
                <w:sz w:val="18"/>
              </w:rPr>
              <w:t>____________________________</w:t>
            </w:r>
          </w:p>
        </w:tc>
      </w:tr>
    </w:tbl>
    <w:p>
      <w:pPr>
        <w:spacing w:after="0"/>
      </w:pPr>
    </w:p>
    <w:p>
      <w:pPr>
        <w:pStyle w:val="Heading2"/>
      </w:pPr>
      <w:r>
        <w:t>Explore without changing records</w:t>
      </w:r>
    </w:p>
    <w:p>
      <w:pPr>
        <w:ind w:left="274" w:hanging="274"/>
      </w:pPr>
      <w:r>
        <w:t>6. In All, search for Incident. Open an available incident list. If the application is unavailable, use a different instructor-approved list and record its name.</w:t>
      </w:r>
    </w:p>
    <w:p>
      <w:pPr>
        <w:ind w:left="274" w:hanging="274"/>
      </w:pPr>
      <w:r>
        <w:t>7. Open one record, identify its number and Short description, and return to the list without changing it.</w:t>
      </w:r>
    </w:p>
    <w:p>
      <w:pPr>
        <w:ind w:left="274" w:hanging="274"/>
      </w:pPr>
      <w:r>
        <w:t>8. Find the same module again and add it to Favorites if supported. Give the favorite a clear label such as Practice incidents.</w:t>
      </w:r>
    </w:p>
    <w:p>
      <w:r>
        <w:t>Expected result: You can explain the difference between the list of records and the form for one record.</w:t>
      </w:r>
    </w:p>
    <w:p>
      <w:r>
        <w:br w:type="page"/>
      </w:r>
    </w:p>
    <w:p>
      <w:pPr>
        <w:pStyle w:val="Heading1"/>
      </w:pPr>
      <w:r>
        <w:t>Understand environments and finish the navigation task</w:t>
      </w:r>
    </w:p>
    <w:p>
      <w:pPr>
        <w:pStyle w:val="Heading2"/>
      </w:pPr>
      <w:r>
        <w:t>Match each activity to an environment</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Activity</w:t>
            </w:r>
          </w:p>
        </w:tc>
        <w:tc>
          <w:tcPr>
            <w:tcW w:type="dxa" w:w="4946"/>
            <w:shd w:fill="E4EEF0"/>
          </w:tcPr>
          <w:p>
            <w:pPr>
              <w:spacing w:after="60" w:before="60"/>
            </w:pPr>
            <w:r>
              <w:rPr>
                <w:b/>
                <w:sz w:val="18"/>
              </w:rPr>
              <w:t>Usual environment</w:t>
            </w:r>
          </w:p>
        </w:tc>
      </w:tr>
      <w:tr>
        <w:trPr>
          <w:cantSplit/>
        </w:trPr>
        <w:tc>
          <w:tcPr>
            <w:tcW w:type="dxa" w:w="4946"/>
          </w:tcPr>
          <w:p>
            <w:pPr>
              <w:spacing w:after="60" w:before="60"/>
            </w:pPr>
            <w:r>
              <w:rPr>
                <w:sz w:val="18"/>
              </w:rPr>
              <w:t>Build a new field or module</w:t>
            </w:r>
          </w:p>
        </w:tc>
        <w:tc>
          <w:tcPr>
            <w:tcW w:type="dxa" w:w="4946"/>
          </w:tcPr>
          <w:p>
            <w:pPr>
              <w:spacing w:after="60" w:before="60"/>
            </w:pPr>
            <w:r>
              <w:rPr>
                <w:sz w:val="18"/>
              </w:rPr>
              <w:t>Development</w:t>
            </w:r>
          </w:p>
        </w:tc>
      </w:tr>
      <w:tr>
        <w:trPr>
          <w:cantSplit/>
        </w:trPr>
        <w:tc>
          <w:tcPr>
            <w:tcW w:type="dxa" w:w="4946"/>
          </w:tcPr>
          <w:p>
            <w:pPr>
              <w:spacing w:after="60" w:before="60"/>
            </w:pPr>
            <w:r>
              <w:rPr>
                <w:sz w:val="18"/>
              </w:rPr>
              <w:t>Business users test agreed requirements</w:t>
            </w:r>
          </w:p>
        </w:tc>
        <w:tc>
          <w:tcPr>
            <w:tcW w:type="dxa" w:w="4946"/>
          </w:tcPr>
          <w:p>
            <w:pPr>
              <w:spacing w:after="60" w:before="60"/>
            </w:pPr>
            <w:r>
              <w:rPr>
                <w:sz w:val="18"/>
              </w:rPr>
              <w:t>Test or UAT</w:t>
            </w:r>
          </w:p>
        </w:tc>
      </w:tr>
      <w:tr>
        <w:trPr>
          <w:cantSplit/>
        </w:trPr>
        <w:tc>
          <w:tcPr>
            <w:tcW w:type="dxa" w:w="4946"/>
          </w:tcPr>
          <w:p>
            <w:pPr>
              <w:spacing w:after="60" w:before="60"/>
            </w:pPr>
            <w:r>
              <w:rPr>
                <w:sz w:val="18"/>
              </w:rPr>
              <w:t>Employees use the approved service</w:t>
            </w:r>
          </w:p>
        </w:tc>
        <w:tc>
          <w:tcPr>
            <w:tcW w:type="dxa" w:w="4946"/>
          </w:tcPr>
          <w:p>
            <w:pPr>
              <w:spacing w:after="60" w:before="60"/>
            </w:pPr>
            <w:r>
              <w:rPr>
                <w:sz w:val="18"/>
              </w:rPr>
              <w:t>Production</w:t>
            </w:r>
          </w:p>
        </w:tc>
      </w:tr>
      <w:tr>
        <w:trPr>
          <w:cantSplit/>
        </w:trPr>
        <w:tc>
          <w:tcPr>
            <w:tcW w:type="dxa" w:w="4946"/>
          </w:tcPr>
          <w:p>
            <w:pPr>
              <w:spacing w:after="60" w:before="60"/>
            </w:pPr>
            <w:r>
              <w:rPr>
                <w:sz w:val="18"/>
              </w:rPr>
              <w:t>Try an isolated idea</w:t>
            </w:r>
          </w:p>
        </w:tc>
        <w:tc>
          <w:tcPr>
            <w:tcW w:type="dxa" w:w="4946"/>
          </w:tcPr>
          <w:p>
            <w:pPr>
              <w:spacing w:after="60" w:before="60"/>
            </w:pPr>
            <w:r>
              <w:rPr>
                <w:sz w:val="18"/>
              </w:rPr>
              <w:t>Sandbox when provided</w:t>
            </w:r>
          </w:p>
        </w:tc>
      </w:tr>
    </w:tbl>
    <w:p>
      <w:pPr>
        <w:spacing w:after="0"/>
      </w:pPr>
    </w:p>
    <w:p>
      <w:r>
        <w:t>These are typical purposes. Your organization may use different names or additional environments. A personal developer instance does not automatically provide separate Dev, Test and Production instances.</w:t>
      </w:r>
    </w:p>
    <w:p>
      <w:pPr>
        <w:pStyle w:val="Heading2"/>
      </w:pPr>
      <w:r>
        <w:t>Follow a record link</w:t>
      </w:r>
    </w:p>
    <w:p>
      <w:pPr>
        <w:ind w:left="274" w:hanging="274"/>
      </w:pPr>
      <w:r>
        <w:t>1. Open the practice record again and copy its browser link into your evidence notes. Do not copy session tokens or passwords.</w:t>
      </w:r>
    </w:p>
    <w:p>
      <w:pPr>
        <w:ind w:left="274" w:hanging="274"/>
      </w:pPr>
      <w:r>
        <w:t>2. Open that link in a second tab in the same signed-in practice session. Confirm the record number is unchanged.</w:t>
      </w:r>
    </w:p>
    <w:p>
      <w:pPr>
        <w:ind w:left="274" w:hanging="274"/>
      </w:pPr>
      <w:r>
        <w:t>3. Explain why two browser tabs do not mean two different ServiceNow instances. Compare their hostnames.</w:t>
      </w:r>
    </w:p>
    <w:p>
      <w:pPr>
        <w:ind w:left="274" w:hanging="274"/>
      </w:pPr>
      <w:r>
        <w:t>4. Use All to find User Administration or another available application. Identify the application menu and one module beneath it.</w:t>
      </w:r>
    </w:p>
    <w:p>
      <w:pPr>
        <w:ind w:left="274" w:hanging="274"/>
      </w:pPr>
      <w:r>
        <w:t>5. Find Help or the product documentation link. Record the release you would select when following instructions.</w:t>
      </w:r>
    </w:p>
    <w:p>
      <w:pPr>
        <w:ind w:left="274" w:hanging="274"/>
      </w:pPr>
      <w:r>
        <w:t>6. Sign out using the profile menu and sign in again with the approved practice account. Confirm that you can reopen your favorite.</w:t>
      </w:r>
    </w:p>
    <w:p>
      <w:pPr>
        <w:pStyle w:val="Heading2"/>
      </w:pPr>
      <w:r>
        <w:t>Explain the business request</w:t>
      </w:r>
    </w:p>
    <w:p>
      <w:r>
        <w:t>Write two sentences describing the planned training service: employees will request courses, coordinators will arrange fulfillment, and managers will review the results. No application is built in this lab.</w:t>
      </w:r>
    </w:p>
    <w:p>
      <w:r>
        <w:t>Service purpose: ____________________________________________________</w:t>
      </w:r>
    </w:p>
    <w:p>
      <w:r>
        <w:t>Main users: _________________________________________________________</w:t>
      </w:r>
    </w:p>
    <w:p>
      <w:pPr>
        <w:pStyle w:val="Heading2"/>
      </w:pPr>
      <w:r>
        <w:t>Save for Day 2</w:t>
      </w:r>
    </w:p>
    <w:p>
      <w:r>
        <w:t>Keep the environment details and favorite. Create an evidence folder named NS_ServiceNow_Labs with a Day_01 subfolder. Save a screenshot of navigation and one form using fictional or permitted sample information.</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Instance URL, release and signed-in user recorded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A list and one form opened successfully</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Favorite or equivalent navigation shortcut saved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Development, Test and Production purposes explained</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Module cannot be found</w:t>
            </w:r>
          </w:p>
        </w:tc>
        <w:tc>
          <w:tcPr>
            <w:tcW w:type="dxa" w:w="4946"/>
          </w:tcPr>
          <w:p>
            <w:pPr>
              <w:spacing w:after="60" w:before="60"/>
            </w:pPr>
            <w:r>
              <w:rPr>
                <w:sz w:val="18"/>
              </w:rPr>
              <w:t>Check application availability, roles and the navigation search. Ask for an approved alternative.</w:t>
            </w:r>
          </w:p>
        </w:tc>
      </w:tr>
      <w:tr>
        <w:trPr>
          <w:cantSplit/>
        </w:trPr>
        <w:tc>
          <w:tcPr>
            <w:tcW w:type="dxa" w:w="4946"/>
          </w:tcPr>
          <w:p>
            <w:pPr>
              <w:spacing w:after="60" w:before="60"/>
            </w:pPr>
            <w:r>
              <w:rPr>
                <w:sz w:val="18"/>
              </w:rPr>
              <w:t>Different screen from the video</w:t>
            </w:r>
          </w:p>
        </w:tc>
        <w:tc>
          <w:tcPr>
            <w:tcW w:type="dxa" w:w="4946"/>
          </w:tcPr>
          <w:p>
            <w:pPr>
              <w:spacing w:after="60" w:before="60"/>
            </w:pPr>
            <w:r>
              <w:rPr>
                <w:sz w:val="18"/>
              </w:rPr>
              <w:t>Record your release and interface. Look for the same function rather than assuming labels match.</w:t>
            </w:r>
          </w:p>
        </w:tc>
      </w:tr>
    </w:tbl>
    <w:p>
      <w:pPr>
        <w:spacing w:after="0"/>
      </w:pPr>
    </w:p>
    <w:p>
      <w:pPr>
        <w:pStyle w:val="Heading2"/>
      </w:pPr>
      <w:r>
        <w:t>Review your understanding</w:t>
      </w:r>
    </w:p>
    <w:p>
      <w:r>
        <w:rPr>
          <w:b/>
        </w:rPr>
        <w:t xml:space="preserve">Does opening another tab create another instance? </w:t>
      </w:r>
      <w:r>
        <w:t>No. The instance is determined by the environment and hostname, not the tab.</w:t>
      </w:r>
    </w:p>
    <w:p>
      <w:r>
        <w:rPr>
          <w:b/>
        </w:rPr>
        <w:t xml:space="preserve">Should this lab change production? </w:t>
      </w:r>
      <w:r>
        <w:t>No. Use the approved practice instance.</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01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1 Platform and Instance Navigation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