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2 Hands On Lab</w:t>
      </w:r>
    </w:p>
    <w:p>
      <w:pPr>
        <w:pStyle w:val="Title"/>
      </w:pPr>
      <w:r>
        <w:t>ITSM and ITIL Foundations</w:t>
      </w:r>
    </w:p>
    <w:p>
      <w:r>
        <w:t>Classify common training-service situations and create one practice incident with a clear impact and update.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45 to 60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1 navigation skills. An instructor-approved Incident application and fictional sample users.</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Classify the business situations</w:t>
      </w:r>
    </w:p>
    <w:p>
      <w:r>
        <w:t>The training team receives different kinds of work. Choose the record type based on the business need rather than placing everything into an incident.</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Situation</w:t>
            </w:r>
          </w:p>
        </w:tc>
        <w:tc>
          <w:tcPr>
            <w:tcW w:type="dxa" w:w="3298"/>
            <w:shd w:fill="E4EEF0"/>
          </w:tcPr>
          <w:p>
            <w:pPr>
              <w:spacing w:after="60" w:before="60"/>
            </w:pPr>
            <w:r>
              <w:rPr>
                <w:b/>
                <w:sz w:val="18"/>
              </w:rPr>
              <w:t>Best starting classification</w:t>
            </w:r>
          </w:p>
        </w:tc>
        <w:tc>
          <w:tcPr>
            <w:tcW w:type="dxa" w:w="3298"/>
            <w:shd w:fill="E4EEF0"/>
          </w:tcPr>
          <w:p>
            <w:pPr>
              <w:spacing w:after="60" w:before="60"/>
            </w:pPr>
            <w:r>
              <w:rPr>
                <w:b/>
                <w:sz w:val="18"/>
              </w:rPr>
              <w:t>Reason</w:t>
            </w:r>
          </w:p>
        </w:tc>
      </w:tr>
      <w:tr>
        <w:trPr>
          <w:cantSplit/>
        </w:trPr>
        <w:tc>
          <w:tcPr>
            <w:tcW w:type="dxa" w:w="3298"/>
          </w:tcPr>
          <w:p>
            <w:pPr>
              <w:spacing w:after="60" w:before="60"/>
            </w:pPr>
            <w:r>
              <w:rPr>
                <w:sz w:val="18"/>
              </w:rPr>
              <w:t>Ravi cannot sign in to an existing training service</w:t>
            </w:r>
          </w:p>
        </w:tc>
        <w:tc>
          <w:tcPr>
            <w:tcW w:type="dxa" w:w="3298"/>
          </w:tcPr>
          <w:p>
            <w:pPr>
              <w:spacing w:after="60" w:before="60"/>
            </w:pPr>
            <w:r>
              <w:rPr>
                <w:sz w:val="18"/>
              </w:rPr>
              <w:t>Incident</w:t>
            </w:r>
          </w:p>
        </w:tc>
        <w:tc>
          <w:tcPr>
            <w:tcW w:type="dxa" w:w="3298"/>
          </w:tcPr>
          <w:p>
            <w:pPr>
              <w:spacing w:after="60" w:before="60"/>
            </w:pPr>
            <w:r>
              <w:rPr>
                <w:sz w:val="18"/>
              </w:rPr>
              <w:t>An available service is interrupted</w:t>
            </w:r>
          </w:p>
        </w:tc>
      </w:tr>
      <w:tr>
        <w:trPr>
          <w:cantSplit/>
        </w:trPr>
        <w:tc>
          <w:tcPr>
            <w:tcW w:type="dxa" w:w="3298"/>
          </w:tcPr>
          <w:p>
            <w:pPr>
              <w:spacing w:after="60" w:before="60"/>
            </w:pPr>
            <w:r>
              <w:rPr>
                <w:sz w:val="18"/>
              </w:rPr>
              <w:t>Ravi wants a new training course</w:t>
            </w:r>
          </w:p>
        </w:tc>
        <w:tc>
          <w:tcPr>
            <w:tcW w:type="dxa" w:w="3298"/>
          </w:tcPr>
          <w:p>
            <w:pPr>
              <w:spacing w:after="60" w:before="60"/>
            </w:pPr>
            <w:r>
              <w:rPr>
                <w:sz w:val="18"/>
              </w:rPr>
              <w:t>Service request</w:t>
            </w:r>
          </w:p>
        </w:tc>
        <w:tc>
          <w:tcPr>
            <w:tcW w:type="dxa" w:w="3298"/>
          </w:tcPr>
          <w:p>
            <w:pPr>
              <w:spacing w:after="60" w:before="60"/>
            </w:pPr>
            <w:r>
              <w:rPr>
                <w:sz w:val="18"/>
              </w:rPr>
              <w:t>He is asking for a planned service</w:t>
            </w:r>
          </w:p>
        </w:tc>
      </w:tr>
      <w:tr>
        <w:trPr>
          <w:cantSplit/>
        </w:trPr>
        <w:tc>
          <w:tcPr>
            <w:tcW w:type="dxa" w:w="3298"/>
          </w:tcPr>
          <w:p>
            <w:pPr>
              <w:spacing w:after="60" w:before="60"/>
            </w:pPr>
            <w:r>
              <w:rPr>
                <w:sz w:val="18"/>
              </w:rPr>
              <w:t>Many users repeatedly lose training access</w:t>
            </w:r>
          </w:p>
        </w:tc>
        <w:tc>
          <w:tcPr>
            <w:tcW w:type="dxa" w:w="3298"/>
          </w:tcPr>
          <w:p>
            <w:pPr>
              <w:spacing w:after="60" w:before="60"/>
            </w:pPr>
            <w:r>
              <w:rPr>
                <w:sz w:val="18"/>
              </w:rPr>
              <w:t>Problem investigation</w:t>
            </w:r>
          </w:p>
        </w:tc>
        <w:tc>
          <w:tcPr>
            <w:tcW w:type="dxa" w:w="3298"/>
          </w:tcPr>
          <w:p>
            <w:pPr>
              <w:spacing w:after="60" w:before="60"/>
            </w:pPr>
            <w:r>
              <w:rPr>
                <w:sz w:val="18"/>
              </w:rPr>
              <w:t>The underlying cause needs investigation</w:t>
            </w:r>
          </w:p>
        </w:tc>
      </w:tr>
      <w:tr>
        <w:trPr>
          <w:cantSplit/>
        </w:trPr>
        <w:tc>
          <w:tcPr>
            <w:tcW w:type="dxa" w:w="3298"/>
          </w:tcPr>
          <w:p>
            <w:pPr>
              <w:spacing w:after="60" w:before="60"/>
            </w:pPr>
            <w:r>
              <w:rPr>
                <w:sz w:val="18"/>
              </w:rPr>
              <w:t>The team plans a training platform upgrade</w:t>
            </w:r>
          </w:p>
        </w:tc>
        <w:tc>
          <w:tcPr>
            <w:tcW w:type="dxa" w:w="3298"/>
          </w:tcPr>
          <w:p>
            <w:pPr>
              <w:spacing w:after="60" w:before="60"/>
            </w:pPr>
            <w:r>
              <w:rPr>
                <w:sz w:val="18"/>
              </w:rPr>
              <w:t>Change</w:t>
            </w:r>
          </w:p>
        </w:tc>
        <w:tc>
          <w:tcPr>
            <w:tcW w:type="dxa" w:w="3298"/>
          </w:tcPr>
          <w:p>
            <w:pPr>
              <w:spacing w:after="60" w:before="60"/>
            </w:pPr>
            <w:r>
              <w:rPr>
                <w:sz w:val="18"/>
              </w:rPr>
              <w:t>A service modification needs assessment</w:t>
            </w:r>
          </w:p>
        </w:tc>
      </w:tr>
      <w:tr>
        <w:trPr>
          <w:cantSplit/>
        </w:trPr>
        <w:tc>
          <w:tcPr>
            <w:tcW w:type="dxa" w:w="3298"/>
          </w:tcPr>
          <w:p>
            <w:pPr>
              <w:spacing w:after="60" w:before="60"/>
            </w:pPr>
            <w:r>
              <w:rPr>
                <w:sz w:val="18"/>
              </w:rPr>
              <w:t>Employees ask how to track their order</w:t>
            </w:r>
          </w:p>
        </w:tc>
        <w:tc>
          <w:tcPr>
            <w:tcW w:type="dxa" w:w="3298"/>
          </w:tcPr>
          <w:p>
            <w:pPr>
              <w:spacing w:after="60" w:before="60"/>
            </w:pPr>
            <w:r>
              <w:rPr>
                <w:sz w:val="18"/>
              </w:rPr>
              <w:t>Knowledge</w:t>
            </w:r>
          </w:p>
        </w:tc>
        <w:tc>
          <w:tcPr>
            <w:tcW w:type="dxa" w:w="3298"/>
          </w:tcPr>
          <w:p>
            <w:pPr>
              <w:spacing w:after="60" w:before="60"/>
            </w:pPr>
            <w:r>
              <w:rPr>
                <w:sz w:val="18"/>
              </w:rPr>
              <w:t>Reusable guidance can answer the question</w:t>
            </w:r>
          </w:p>
        </w:tc>
      </w:tr>
    </w:tbl>
    <w:p>
      <w:pPr>
        <w:spacing w:after="0"/>
      </w:pPr>
    </w:p>
    <w:p>
      <w:pPr>
        <w:pStyle w:val="Heading2"/>
      </w:pPr>
      <w:r>
        <w:t>Interview the requester</w:t>
      </w:r>
    </w:p>
    <w:p>
      <w:pPr>
        <w:ind w:left="274" w:hanging="274"/>
      </w:pPr>
      <w:r>
        <w:t>1. For the access incident, ask what the user expected, what happened, when it started and whether it worked before.</w:t>
      </w:r>
    </w:p>
    <w:p>
      <w:pPr>
        <w:ind w:left="274" w:hanging="274"/>
      </w:pPr>
      <w:r>
        <w:t>2. Ask how many users are affected, what business activity is blocked and whether a workaround exists.</w:t>
      </w:r>
    </w:p>
    <w:p>
      <w:pPr>
        <w:ind w:left="274" w:hanging="274"/>
      </w:pPr>
      <w:r>
        <w:t>3. Record a useful error message and reproduction steps. Use fictional information. Do not place passwords in the record.</w:t>
      </w:r>
    </w:p>
    <w:p>
      <w:pPr>
        <w:ind w:left="274" w:hanging="274"/>
      </w:pPr>
      <w:r>
        <w:t>4. Explain impact as the extent of business effect and urgency as how quickly a resolution is needed. Use your instance's priority policy; do not invent a universal matrix.</w:t>
      </w:r>
    </w:p>
    <w:p>
      <w:pPr>
        <w:ind w:left="274" w:hanging="274"/>
      </w:pPr>
      <w:r>
        <w:t>5. Write a short incident description in your own words using the example below.</w:t>
      </w:r>
    </w:p>
    <w:p>
      <w:r>
        <w:t>Example: Ravi cannot sign in to the training platform. The issue started this morning. He can open the sign-in page, but receives a fictional Account unavailable message. One pilot employee is affected. No course is scheduled today.</w:t>
      </w:r>
    </w:p>
    <w:p>
      <w:pPr>
        <w:pStyle w:val="Heading2"/>
      </w:pPr>
      <w:r>
        <w:t>Decide who handles the work</w:t>
      </w:r>
    </w:p>
    <w:p>
      <w:r>
        <w:t>Business requester: Ravi. First support contact: service desk. Training support team: NS Training Fulfillment when created on Day 7. The problem manager and change manager have separate responsibilities.</w:t>
      </w:r>
    </w:p>
    <w:p>
      <w:r>
        <w:br w:type="page"/>
      </w:r>
    </w:p>
    <w:p>
      <w:pPr>
        <w:pStyle w:val="Heading1"/>
      </w:pPr>
      <w:r>
        <w:t>Create and update a practice incident</w:t>
      </w:r>
    </w:p>
    <w:p>
      <w:pPr>
        <w:pStyle w:val="Heading2"/>
      </w:pPr>
      <w:r>
        <w:t>Create the record</w:t>
      </w:r>
    </w:p>
    <w:p>
      <w:pPr>
        <w:ind w:left="274" w:hanging="274"/>
      </w:pPr>
      <w:r>
        <w:t>1. Open Incident &gt; Create New or the New action on the incident list.</w:t>
      </w:r>
    </w:p>
    <w:p>
      <w:pPr>
        <w:ind w:left="274" w:hanging="274"/>
      </w:pPr>
      <w:r>
        <w:t>2. Select an existing fictional Caller supplied by the instructor. If Ravi does not exist yet, use the approved sample user and record the substitution.</w:t>
      </w:r>
    </w:p>
    <w:p>
      <w:pPr>
        <w:ind w:left="274" w:hanging="274"/>
      </w:pPr>
      <w:r>
        <w:t>3. Enter Short description: NSLAB D02 Cannot sign in to training platform.</w:t>
      </w:r>
    </w:p>
    <w:p>
      <w:pPr>
        <w:ind w:left="274" w:hanging="274"/>
      </w:pPr>
      <w:r>
        <w:t>4. Paste your fictional description. Complete all fields required by this instance. Select an appropriate existing category and contact type where required.</w:t>
      </w:r>
    </w:p>
    <w:p>
      <w:pPr>
        <w:ind w:left="274" w:hanging="274"/>
      </w:pPr>
      <w:r>
        <w:t>5. Set Impact and Urgency according to the one-user teaching scenario and the instructor's policy. Observe the resulting Priority without changing the priority rules.</w:t>
      </w:r>
    </w:p>
    <w:p>
      <w:pPr>
        <w:ind w:left="274" w:hanging="274"/>
      </w:pPr>
      <w:r>
        <w:t>6. Submit. Record the Incident number, table name and current State.</w:t>
      </w:r>
    </w:p>
    <w:p>
      <w:pPr>
        <w:pStyle w:val="Heading2"/>
      </w:pPr>
      <w:r>
        <w:t>Practice an internal update</w:t>
      </w:r>
    </w:p>
    <w:p>
      <w:pPr>
        <w:ind w:left="274" w:hanging="274"/>
      </w:pPr>
      <w:r>
        <w:t>7. Reopen the incident. Add a Work note: Reproduced the fictional sign-in error. Checking the pilot account with training support.</w:t>
      </w:r>
    </w:p>
    <w:p>
      <w:pPr>
        <w:ind w:left="274" w:hanging="274"/>
      </w:pPr>
      <w:r>
        <w:t>8. Save and verify the note appears in activity. Work notes and customer-visible comments have different audiences. Confirm your instance's journal labels before entering either.</w:t>
      </w:r>
    </w:p>
    <w:p>
      <w:pPr>
        <w:ind w:left="274" w:hanging="274"/>
      </w:pPr>
      <w:r>
        <w:t>9. Assign an approved sample support group if the instructor permits. If the course group does not exist yet, leave assignment as instructed rather than creating Day 7 groups early.</w:t>
      </w:r>
    </w:p>
    <w:p>
      <w:pPr>
        <w:ind w:left="274" w:hanging="274"/>
      </w:pPr>
      <w:r>
        <w:t>10. Explain a possible resolution and the evidence you would need. Do not claim an actual service was repaired. If practicing Resolve, use a separate instructor-approved incident and complete required resolution fields with clearly labelled lab text.</w:t>
      </w:r>
    </w:p>
    <w:p>
      <w:pPr>
        <w:pStyle w:val="Heading2"/>
      </w:pPr>
      <w:r>
        <w:t>Inspect a service target</w:t>
      </w:r>
    </w:p>
    <w:p>
      <w:pPr>
        <w:ind w:left="274" w:hanging="274"/>
      </w:pPr>
      <w:r>
        <w:t>11. If a Task SLAs related list is visible, inspect an existing entry. Note its definition, stage and timing. If none exists, record Not available. Do not create an SLA in this foundations exercise.</w:t>
      </w:r>
    </w:p>
    <w:p>
      <w:pPr>
        <w:ind w:left="274" w:hanging="274"/>
      </w:pPr>
      <w:r>
        <w:t>12. Keep this incident for Days 3 to 6. Record its number and link below.</w:t>
      </w:r>
    </w:p>
    <w:p>
      <w:r>
        <w:t>Incident number: __________________ Caller: __________________________</w:t>
      </w:r>
    </w:p>
    <w:p>
      <w:r>
        <w:t>Priority and reason: __________________________________________________</w:t>
      </w:r>
    </w:p>
    <w:p>
      <w:pPr>
        <w:pStyle w:val="Heading2"/>
      </w:pPr>
      <w:r>
        <w:t>Reflection</w:t>
      </w:r>
    </w:p>
    <w:p>
      <w:r>
        <w:t>Describe how a request for a new course would follow a different path from this service interruption. The course catalog is built on Day 13.</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Five situations classified with reasons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Practice incident saved with a clear caller and description</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Impact, urgency and observed priority recorded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Internal work note saved and verified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Cannot save incident</w:t>
            </w:r>
          </w:p>
        </w:tc>
        <w:tc>
          <w:tcPr>
            <w:tcW w:type="dxa" w:w="4946"/>
          </w:tcPr>
          <w:p>
            <w:pPr>
              <w:spacing w:after="60" w:before="60"/>
            </w:pPr>
            <w:r>
              <w:rPr>
                <w:sz w:val="18"/>
              </w:rPr>
              <w:t>Complete the instance-specific mandatory fields and inspect the validation message.</w:t>
            </w:r>
          </w:p>
        </w:tc>
      </w:tr>
      <w:tr>
        <w:trPr>
          <w:cantSplit/>
        </w:trPr>
        <w:tc>
          <w:tcPr>
            <w:tcW w:type="dxa" w:w="4946"/>
          </w:tcPr>
          <w:p>
            <w:pPr>
              <w:spacing w:after="60" w:before="60"/>
            </w:pPr>
            <w:r>
              <w:rPr>
                <w:sz w:val="18"/>
              </w:rPr>
              <w:t>No SLA appears</w:t>
            </w:r>
          </w:p>
        </w:tc>
        <w:tc>
          <w:tcPr>
            <w:tcW w:type="dxa" w:w="4946"/>
          </w:tcPr>
          <w:p>
            <w:pPr>
              <w:spacing w:after="60" w:before="60"/>
            </w:pPr>
            <w:r>
              <w:rPr>
                <w:sz w:val="18"/>
              </w:rPr>
              <w:t>There may be no matching active definition. Record the observation without creating one.</w:t>
            </w:r>
          </w:p>
        </w:tc>
      </w:tr>
    </w:tbl>
    <w:p>
      <w:pPr>
        <w:spacing w:after="0"/>
      </w:pPr>
    </w:p>
    <w:p>
      <w:pPr>
        <w:pStyle w:val="Heading2"/>
      </w:pPr>
      <w:r>
        <w:t>Review your understanding</w:t>
      </w:r>
    </w:p>
    <w:p>
      <w:r>
        <w:rPr>
          <w:b/>
        </w:rPr>
        <w:t xml:space="preserve">Does every repeated incident automatically become a Problem? </w:t>
      </w:r>
      <w:r>
        <w:t>No. A team decides whether a separate investigation is needed.</w:t>
      </w:r>
    </w:p>
    <w:p>
      <w:r>
        <w:rPr>
          <w:b/>
        </w:rPr>
        <w:t xml:space="preserve">Is a new course request normally an incident? </w:t>
      </w:r>
      <w:r>
        <w:t>No. It is a planned service request.</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02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2 ITSM and ITIL Foundations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