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Day 6 Hands On Lab</w:t>
      </w:r>
    </w:p>
    <w:p>
      <w:pPr>
        <w:pStyle w:val="Title"/>
      </w:pPr>
      <w:r>
        <w:t>Forms Views and Related Lists</w:t>
      </w:r>
    </w:p>
    <w:p>
      <w:r>
        <w:t>Create a dedicated lab form view, arrange fields and sections, inspect related lists, and distinguish personal changes from shared configuration.</w:t>
      </w:r>
    </w:p>
    <w:tbl>
      <w:tblPr>
        <w:tblStyle w:val="TableGrid"/>
        <w:tblW w:type="auto" w:w="0"/>
        <w:tblLayout w:type="autofit"/>
        <w:tblLook w:firstColumn="1" w:firstRow="1" w:lastColumn="0" w:lastRow="0" w:noHBand="0" w:noVBand="1" w:val="04A0"/>
      </w:tblPr>
      <w:tblGrid>
        <w:gridCol w:w="4946"/>
        <w:gridCol w:w="4946"/>
      </w:tblGrid>
      <w:tr>
        <w:trPr>
          <w:cantSplit/>
          <w:tblHeader/>
        </w:trPr>
        <w:tc>
          <w:tcPr>
            <w:tcW w:type="dxa" w:w="4946"/>
            <w:shd w:fill="E4EEF0"/>
          </w:tcPr>
          <w:p>
            <w:pPr>
              <w:spacing w:after="60" w:before="60"/>
            </w:pPr>
            <w:r>
              <w:rPr>
                <w:b/>
                <w:sz w:val="18"/>
              </w:rPr>
              <w:t>Lab detail</w:t>
            </w:r>
          </w:p>
        </w:tc>
        <w:tc>
          <w:tcPr>
            <w:tcW w:type="dxa" w:w="4946"/>
            <w:shd w:fill="E4EEF0"/>
          </w:tcPr>
          <w:p>
            <w:pPr>
              <w:spacing w:after="60" w:before="60"/>
            </w:pPr>
            <w:r>
              <w:rPr>
                <w:b/>
                <w:sz w:val="18"/>
              </w:rPr>
              <w:t>Plan</w:t>
            </w:r>
          </w:p>
        </w:tc>
      </w:tr>
      <w:tr>
        <w:trPr>
          <w:cantSplit/>
        </w:trPr>
        <w:tc>
          <w:tcPr>
            <w:tcW w:type="dxa" w:w="4946"/>
          </w:tcPr>
          <w:p>
            <w:pPr>
              <w:spacing w:after="60" w:before="60"/>
            </w:pPr>
            <w:r>
              <w:rPr>
                <w:sz w:val="18"/>
              </w:rPr>
              <w:t>Level</w:t>
            </w:r>
          </w:p>
        </w:tc>
        <w:tc>
          <w:tcPr>
            <w:tcW w:type="dxa" w:w="4946"/>
          </w:tcPr>
          <w:p>
            <w:pPr>
              <w:spacing w:after="60" w:before="60"/>
            </w:pPr>
            <w:r>
              <w:rPr>
                <w:sz w:val="18"/>
              </w:rPr>
              <w:t>Level 1 beginner</w:t>
            </w:r>
          </w:p>
        </w:tc>
      </w:tr>
      <w:tr>
        <w:trPr>
          <w:cantSplit/>
        </w:trPr>
        <w:tc>
          <w:tcPr>
            <w:tcW w:type="dxa" w:w="4946"/>
          </w:tcPr>
          <w:p>
            <w:pPr>
              <w:spacing w:after="60" w:before="60"/>
            </w:pPr>
            <w:r>
              <w:rPr>
                <w:sz w:val="18"/>
              </w:rPr>
              <w:t>Estimated practice time</w:t>
            </w:r>
          </w:p>
        </w:tc>
        <w:tc>
          <w:tcPr>
            <w:tcW w:type="dxa" w:w="4946"/>
          </w:tcPr>
          <w:p>
            <w:pPr>
              <w:spacing w:after="60" w:before="60"/>
            </w:pPr>
            <w:r>
              <w:rPr>
                <w:sz w:val="18"/>
              </w:rPr>
              <w:t>60 to 75 minutes</w:t>
            </w:r>
          </w:p>
        </w:tc>
      </w:tr>
      <w:tr>
        <w:trPr>
          <w:cantSplit/>
        </w:trPr>
        <w:tc>
          <w:tcPr>
            <w:tcW w:type="dxa" w:w="4946"/>
          </w:tcPr>
          <w:p>
            <w:pPr>
              <w:spacing w:after="60" w:before="60"/>
            </w:pPr>
            <w:r>
              <w:rPr>
                <w:sz w:val="18"/>
              </w:rPr>
              <w:t>Course baseline</w:t>
            </w:r>
          </w:p>
        </w:tc>
        <w:tc>
          <w:tcPr>
            <w:tcW w:type="dxa" w:w="4946"/>
          </w:tcPr>
          <w:p>
            <w:pPr>
              <w:spacing w:after="60" w:before="60"/>
            </w:pPr>
            <w:r>
              <w:rPr>
                <w:sz w:val="18"/>
              </w:rPr>
              <w:t>Australia release and Global scope for configuration</w:t>
            </w:r>
          </w:p>
        </w:tc>
      </w:tr>
      <w:tr>
        <w:trPr>
          <w:cantSplit/>
        </w:trPr>
        <w:tc>
          <w:tcPr>
            <w:tcW w:type="dxa" w:w="4946"/>
          </w:tcPr>
          <w:p>
            <w:pPr>
              <w:spacing w:after="60" w:before="60"/>
            </w:pPr>
            <w:r>
              <w:rPr>
                <w:sz w:val="18"/>
              </w:rPr>
              <w:t>Business scenario</w:t>
            </w:r>
          </w:p>
        </w:tc>
        <w:tc>
          <w:tcPr>
            <w:tcW w:type="dxa" w:w="4946"/>
          </w:tcPr>
          <w:p>
            <w:pPr>
              <w:spacing w:after="60" w:before="60"/>
            </w:pPr>
            <w:r>
              <w:rPr>
                <w:sz w:val="18"/>
              </w:rPr>
              <w:t>NS Technologies Training Service Management</w:t>
            </w:r>
          </w:p>
        </w:tc>
      </w:tr>
    </w:tbl>
    <w:p>
      <w:pPr>
        <w:spacing w:after="0"/>
      </w:pPr>
    </w:p>
    <w:p>
      <w:pPr>
        <w:pStyle w:val="Heading1"/>
      </w:pPr>
      <w:r>
        <w:t>Before you begin</w:t>
      </w:r>
    </w:p>
    <w:p>
      <w:r>
        <w:t>Day 5 incident sample. Administrator access for configuration and an ordinary permitted account for personal-layout comparison.</w:t>
      </w:r>
    </w:p>
    <w:p>
      <w:r>
        <w:t>Use an approved practice instance and fictional information. Search for matching course objects before creating them. Reuse your own existing lab records and write down technical names that differ from this workbook.</w:t>
      </w:r>
    </w:p>
    <w:p>
      <w:r>
        <w:t>Menu labels and available actions vary by release, installed capabilities and roles. Use the same function in your interface and record any unavailable prerequisite as Blocked. Do not mark an unexecuted test as passed.</w:t>
      </w:r>
    </w:p>
    <w:p>
      <w:pPr>
        <w:pStyle w:val="Heading1"/>
      </w:pPr>
      <w:r>
        <w:t>Your lab record</w:t>
      </w:r>
    </w:p>
    <w:tbl>
      <w:tblPr>
        <w:tblStyle w:val="TableGrid"/>
        <w:tblW w:type="auto" w:w="0"/>
        <w:tblLayout w:type="autofit"/>
        <w:tblLook w:firstColumn="1" w:firstRow="1" w:lastColumn="0" w:lastRow="0" w:noHBand="0" w:noVBand="1" w:val="04A0"/>
      </w:tblPr>
      <w:tblGrid>
        <w:gridCol w:w="4946"/>
        <w:gridCol w:w="4946"/>
      </w:tblGrid>
      <w:tr>
        <w:trPr>
          <w:cantSplit/>
          <w:tblHeader/>
        </w:trPr>
        <w:tc>
          <w:tcPr>
            <w:tcW w:type="dxa" w:w="4946"/>
            <w:shd w:fill="E4EEF0"/>
          </w:tcPr>
          <w:p>
            <w:pPr>
              <w:spacing w:after="60" w:before="60"/>
            </w:pPr>
            <w:r>
              <w:rPr>
                <w:b/>
                <w:sz w:val="18"/>
              </w:rPr>
              <w:t>Record</w:t>
            </w:r>
          </w:p>
        </w:tc>
        <w:tc>
          <w:tcPr>
            <w:tcW w:type="dxa" w:w="4946"/>
            <w:shd w:fill="E4EEF0"/>
          </w:tcPr>
          <w:p>
            <w:pPr>
              <w:spacing w:after="60" w:before="60"/>
            </w:pPr>
            <w:r>
              <w:rPr>
                <w:b/>
                <w:sz w:val="18"/>
              </w:rPr>
              <w:t>Your entry</w:t>
            </w:r>
          </w:p>
        </w:tc>
      </w:tr>
      <w:tr>
        <w:trPr>
          <w:cantSplit/>
        </w:trPr>
        <w:tc>
          <w:tcPr>
            <w:tcW w:type="dxa" w:w="4946"/>
          </w:tcPr>
          <w:p>
            <w:pPr>
              <w:spacing w:after="60" w:before="60"/>
            </w:pPr>
            <w:r>
              <w:rPr>
                <w:sz w:val="18"/>
              </w:rPr>
              <w:t>Learner and date</w:t>
            </w:r>
          </w:p>
        </w:tc>
        <w:tc>
          <w:tcPr>
            <w:tcW w:type="dxa" w:w="4946"/>
          </w:tcPr>
          <w:p>
            <w:pPr>
              <w:spacing w:after="60" w:before="60"/>
            </w:pPr>
            <w:r>
              <w:rPr>
                <w:sz w:val="18"/>
              </w:rPr>
              <w:t>_____________________________________</w:t>
            </w:r>
          </w:p>
        </w:tc>
      </w:tr>
      <w:tr>
        <w:trPr>
          <w:cantSplit/>
        </w:trPr>
        <w:tc>
          <w:tcPr>
            <w:tcW w:type="dxa" w:w="4946"/>
          </w:tcPr>
          <w:p>
            <w:pPr>
              <w:spacing w:after="60" w:before="60"/>
            </w:pPr>
            <w:r>
              <w:rPr>
                <w:sz w:val="18"/>
              </w:rPr>
              <w:t>Instance and release</w:t>
            </w:r>
          </w:p>
        </w:tc>
        <w:tc>
          <w:tcPr>
            <w:tcW w:type="dxa" w:w="4946"/>
          </w:tcPr>
          <w:p>
            <w:pPr>
              <w:spacing w:after="60" w:before="60"/>
            </w:pPr>
            <w:r>
              <w:rPr>
                <w:sz w:val="18"/>
              </w:rPr>
              <w:t>_____________________________________</w:t>
            </w:r>
          </w:p>
        </w:tc>
      </w:tr>
      <w:tr>
        <w:trPr>
          <w:cantSplit/>
        </w:trPr>
        <w:tc>
          <w:tcPr>
            <w:tcW w:type="dxa" w:w="4946"/>
          </w:tcPr>
          <w:p>
            <w:pPr>
              <w:spacing w:after="60" w:before="60"/>
            </w:pPr>
            <w:r>
              <w:rPr>
                <w:sz w:val="18"/>
              </w:rPr>
              <w:t>Setup account and test users</w:t>
            </w:r>
          </w:p>
        </w:tc>
        <w:tc>
          <w:tcPr>
            <w:tcW w:type="dxa" w:w="4946"/>
          </w:tcPr>
          <w:p>
            <w:pPr>
              <w:spacing w:after="60" w:before="60"/>
            </w:pPr>
            <w:r>
              <w:rPr>
                <w:sz w:val="18"/>
              </w:rPr>
              <w:t>_____________________________________</w:t>
            </w:r>
          </w:p>
        </w:tc>
      </w:tr>
      <w:tr>
        <w:trPr>
          <w:cantSplit/>
        </w:trPr>
        <w:tc>
          <w:tcPr>
            <w:tcW w:type="dxa" w:w="4946"/>
          </w:tcPr>
          <w:p>
            <w:pPr>
              <w:spacing w:after="60" w:before="60"/>
            </w:pPr>
            <w:r>
              <w:rPr>
                <w:sz w:val="18"/>
              </w:rPr>
              <w:t>Current update set if configuring</w:t>
            </w:r>
          </w:p>
        </w:tc>
        <w:tc>
          <w:tcPr>
            <w:tcW w:type="dxa" w:w="4946"/>
          </w:tcPr>
          <w:p>
            <w:pPr>
              <w:spacing w:after="60" w:before="60"/>
            </w:pPr>
            <w:r>
              <w:rPr>
                <w:sz w:val="18"/>
              </w:rPr>
              <w:t>_____________________________________</w:t>
            </w:r>
          </w:p>
        </w:tc>
      </w:tr>
      <w:tr>
        <w:trPr>
          <w:cantSplit/>
        </w:trPr>
        <w:tc>
          <w:tcPr>
            <w:tcW w:type="dxa" w:w="4946"/>
          </w:tcPr>
          <w:p>
            <w:pPr>
              <w:spacing w:after="60" w:before="60"/>
            </w:pPr>
            <w:r>
              <w:rPr>
                <w:sz w:val="18"/>
              </w:rPr>
              <w:t>Evidence folder</w:t>
            </w:r>
          </w:p>
        </w:tc>
        <w:tc>
          <w:tcPr>
            <w:tcW w:type="dxa" w:w="4946"/>
          </w:tcPr>
          <w:p>
            <w:pPr>
              <w:spacing w:after="60" w:before="60"/>
            </w:pPr>
            <w:r>
              <w:rPr>
                <w:sz w:val="18"/>
              </w:rPr>
              <w:t>_____________________________________</w:t>
            </w:r>
          </w:p>
        </w:tc>
      </w:tr>
    </w:tbl>
    <w:p>
      <w:pPr>
        <w:spacing w:after="0"/>
      </w:pPr>
    </w:p>
    <w:p>
      <w:pPr>
        <w:pStyle w:val="Heading1"/>
      </w:pPr>
      <w:r>
        <w:t>How to complete this lab</w:t>
      </w:r>
    </w:p>
    <w:p>
      <w:r>
        <w:t>Follow the task pages in order. Keep screenshots and actual record identifiers with this document. On the final page, record each result as Pass, Fail, Blocked or Not performed and explain any difference from the expected result.</w:t>
      </w:r>
    </w:p>
    <w:p>
      <w:r>
        <w:br w:type="page"/>
      </w:r>
    </w:p>
    <w:p>
      <w:pPr>
        <w:pStyle w:val="Heading1"/>
      </w:pPr>
      <w:r>
        <w:t>Create a dedicated form view</w:t>
      </w:r>
    </w:p>
    <w:p>
      <w:pPr>
        <w:pStyle w:val="Heading2"/>
      </w:pPr>
      <w:r>
        <w:t>Prepare configuration capture</w:t>
      </w:r>
    </w:p>
    <w:p>
      <w:pPr>
        <w:ind w:left="274" w:hanging="274"/>
      </w:pPr>
      <w:r>
        <w:t>1. Use the approved setup account and Global scope. With instructor guidance, create Local Update Set NS_TRM_D06_Forms in progress and make it current. Day 10 explains update sets in full.</w:t>
      </w:r>
    </w:p>
    <w:p>
      <w:pPr>
        <w:ind w:left="274" w:hanging="274"/>
      </w:pPr>
      <w:r>
        <w:t>2. Open L1 from Day 5. Record its Number and sys_id before changing any layout.</w:t>
      </w:r>
    </w:p>
    <w:p>
      <w:pPr>
        <w:ind w:left="274" w:hanging="274"/>
      </w:pPr>
      <w:r>
        <w:t>3. Use the form menu &gt; Configure &gt; Form Layout or Form Designer. Work in a new view named NS Training Support rather than replacing the default view.</w:t>
      </w:r>
    </w:p>
    <w:p>
      <w:pPr>
        <w:ind w:left="274" w:hanging="274"/>
      </w:pPr>
      <w:r>
        <w:t>4. Add or arrange the sections and fields below. Preserve all instance-required fields so the form can still be saved.</w:t>
      </w:r>
    </w:p>
    <w:tbl>
      <w:tblPr>
        <w:tblStyle w:val="TableGrid"/>
        <w:tblW w:type="auto" w:w="0"/>
        <w:tblLayout w:type="autofit"/>
        <w:tblLook w:firstColumn="1" w:firstRow="1" w:lastColumn="0" w:lastRow="0" w:noHBand="0" w:noVBand="1" w:val="04A0"/>
      </w:tblPr>
      <w:tblGrid>
        <w:gridCol w:w="4946"/>
        <w:gridCol w:w="4946"/>
      </w:tblGrid>
      <w:tr>
        <w:trPr>
          <w:cantSplit/>
          <w:tblHeader/>
        </w:trPr>
        <w:tc>
          <w:tcPr>
            <w:tcW w:type="dxa" w:w="4946"/>
            <w:shd w:fill="E4EEF0"/>
          </w:tcPr>
          <w:p>
            <w:pPr>
              <w:spacing w:after="60" w:before="60"/>
            </w:pPr>
            <w:r>
              <w:rPr>
                <w:b/>
                <w:sz w:val="18"/>
              </w:rPr>
              <w:t>Section</w:t>
            </w:r>
          </w:p>
        </w:tc>
        <w:tc>
          <w:tcPr>
            <w:tcW w:type="dxa" w:w="4946"/>
            <w:shd w:fill="E4EEF0"/>
          </w:tcPr>
          <w:p>
            <w:pPr>
              <w:spacing w:after="60" w:before="60"/>
            </w:pPr>
            <w:r>
              <w:rPr>
                <w:b/>
                <w:sz w:val="18"/>
              </w:rPr>
              <w:t>Suggested fields</w:t>
            </w:r>
          </w:p>
        </w:tc>
      </w:tr>
      <w:tr>
        <w:trPr>
          <w:cantSplit/>
        </w:trPr>
        <w:tc>
          <w:tcPr>
            <w:tcW w:type="dxa" w:w="4946"/>
          </w:tcPr>
          <w:p>
            <w:pPr>
              <w:spacing w:after="60" w:before="60"/>
            </w:pPr>
            <w:r>
              <w:rPr>
                <w:sz w:val="18"/>
              </w:rPr>
              <w:t>Issue details</w:t>
            </w:r>
          </w:p>
        </w:tc>
        <w:tc>
          <w:tcPr>
            <w:tcW w:type="dxa" w:w="4946"/>
          </w:tcPr>
          <w:p>
            <w:pPr>
              <w:spacing w:after="60" w:before="60"/>
            </w:pPr>
            <w:r>
              <w:rPr>
                <w:sz w:val="18"/>
              </w:rPr>
              <w:t>Number Caller Short description Description</w:t>
            </w:r>
          </w:p>
        </w:tc>
      </w:tr>
      <w:tr>
        <w:trPr>
          <w:cantSplit/>
        </w:trPr>
        <w:tc>
          <w:tcPr>
            <w:tcW w:type="dxa" w:w="4946"/>
          </w:tcPr>
          <w:p>
            <w:pPr>
              <w:spacing w:after="60" w:before="60"/>
            </w:pPr>
            <w:r>
              <w:rPr>
                <w:sz w:val="18"/>
              </w:rPr>
              <w:t>Assignment</w:t>
            </w:r>
          </w:p>
        </w:tc>
        <w:tc>
          <w:tcPr>
            <w:tcW w:type="dxa" w:w="4946"/>
          </w:tcPr>
          <w:p>
            <w:pPr>
              <w:spacing w:after="60" w:before="60"/>
            </w:pPr>
            <w:r>
              <w:rPr>
                <w:sz w:val="18"/>
              </w:rPr>
              <w:t>Assignment group Assigned to State</w:t>
            </w:r>
          </w:p>
        </w:tc>
      </w:tr>
      <w:tr>
        <w:trPr>
          <w:cantSplit/>
        </w:trPr>
        <w:tc>
          <w:tcPr>
            <w:tcW w:type="dxa" w:w="4946"/>
          </w:tcPr>
          <w:p>
            <w:pPr>
              <w:spacing w:after="60" w:before="60"/>
            </w:pPr>
            <w:r>
              <w:rPr>
                <w:sz w:val="18"/>
              </w:rPr>
              <w:t>Assessment</w:t>
            </w:r>
          </w:p>
        </w:tc>
        <w:tc>
          <w:tcPr>
            <w:tcW w:type="dxa" w:w="4946"/>
          </w:tcPr>
          <w:p>
            <w:pPr>
              <w:spacing w:after="60" w:before="60"/>
            </w:pPr>
            <w:r>
              <w:rPr>
                <w:sz w:val="18"/>
              </w:rPr>
              <w:t>Impact Urgency Priority</w:t>
            </w:r>
          </w:p>
        </w:tc>
      </w:tr>
      <w:tr>
        <w:trPr>
          <w:cantSplit/>
        </w:trPr>
        <w:tc>
          <w:tcPr>
            <w:tcW w:type="dxa" w:w="4946"/>
          </w:tcPr>
          <w:p>
            <w:pPr>
              <w:spacing w:after="60" w:before="60"/>
            </w:pPr>
            <w:r>
              <w:rPr>
                <w:sz w:val="18"/>
              </w:rPr>
              <w:t>Communication</w:t>
            </w:r>
          </w:p>
        </w:tc>
        <w:tc>
          <w:tcPr>
            <w:tcW w:type="dxa" w:w="4946"/>
          </w:tcPr>
          <w:p>
            <w:pPr>
              <w:spacing w:after="60" w:before="60"/>
            </w:pPr>
            <w:r>
              <w:rPr>
                <w:sz w:val="18"/>
              </w:rPr>
              <w:t>Work notes Additional comments where available</w:t>
            </w:r>
          </w:p>
        </w:tc>
      </w:tr>
    </w:tbl>
    <w:p>
      <w:pPr>
        <w:spacing w:after="0"/>
      </w:pPr>
    </w:p>
    <w:p>
      <w:pPr>
        <w:ind w:left="274" w:hanging="274"/>
      </w:pPr>
      <w:r>
        <w:t>5. Save the layout. Open the record in the new view using the supported View selector. Confirm the same saved incident appears.</w:t>
      </w:r>
    </w:p>
    <w:p>
      <w:pPr>
        <w:ind w:left="274" w:hanging="274"/>
      </w:pPr>
      <w:r>
        <w:t>6. Switch back to Default. Compare the arrangements and verify the record Number and sys_id are unchanged.</w:t>
      </w:r>
    </w:p>
    <w:p>
      <w:pPr>
        <w:ind w:left="274" w:hanging="274"/>
      </w:pPr>
      <w:r>
        <w:t>7. Enter a harmless fictional work note through the new view and save. Check it from Default to prove both views show the same underlying record.</w:t>
      </w:r>
    </w:p>
    <w:p>
      <w:r>
        <w:t>A view is a named arrangement of fields. It does not create a new table, copy the incident, or grant access to protected information.</w:t>
      </w:r>
    </w:p>
    <w:p>
      <w:r>
        <w:br w:type="page"/>
      </w:r>
    </w:p>
    <w:p>
      <w:pPr>
        <w:pStyle w:val="Heading1"/>
      </w:pPr>
      <w:r>
        <w:t>Compare configuration with personalization</w:t>
      </w:r>
    </w:p>
    <w:p>
      <w:pPr>
        <w:pStyle w:val="Heading2"/>
      </w:pPr>
      <w:r>
        <w:t>Personal layout exercise</w:t>
      </w:r>
    </w:p>
    <w:p>
      <w:pPr>
        <w:ind w:left="274" w:hanging="274"/>
      </w:pPr>
      <w:r>
        <w:t>1. Use an ordinary account that already has permitted access to the sample incident. Record the account and view name.</w:t>
      </w:r>
    </w:p>
    <w:p>
      <w:pPr>
        <w:ind w:left="274" w:hanging="274"/>
      </w:pPr>
      <w:r>
        <w:t>2. Open the form personalization control if available. Hide one optional visible field, such as Description, and observe the layout.</w:t>
      </w:r>
    </w:p>
    <w:p>
      <w:pPr>
        <w:ind w:left="274" w:hanging="274"/>
      </w:pPr>
      <w:r>
        <w:t>3. Reopen the same view as the setup administrator or another permitted account. Check whether the personal choice affects that user. Do not assume every control makes a shared change.</w:t>
      </w:r>
    </w:p>
    <w:p>
      <w:pPr>
        <w:ind w:left="274" w:hanging="274"/>
      </w:pPr>
      <w:r>
        <w:t>4. Restore the ordinary user's personal layout and end impersonation.</w:t>
      </w:r>
    </w:p>
    <w:p>
      <w:pPr>
        <w:pStyle w:val="Heading2"/>
      </w:pPr>
      <w:r>
        <w:t>Related list exercise</w:t>
      </w:r>
    </w:p>
    <w:p>
      <w:pPr>
        <w:ind w:left="274" w:hanging="274"/>
      </w:pPr>
      <w:r>
        <w:t>5. As administrator, open Configure &gt; Related Lists for the dedicated view. Review the available related lists and their purpose.</w:t>
      </w:r>
    </w:p>
    <w:p>
      <w:pPr>
        <w:ind w:left="274" w:hanging="274"/>
      </w:pPr>
      <w:r>
        <w:t>6. Add an available relevant list, such as Task SLAs, to the dedicated view. If already present, keep it rather than adding a duplicate.</w:t>
      </w:r>
    </w:p>
    <w:p>
      <w:pPr>
        <w:ind w:left="274" w:hanging="274"/>
      </w:pPr>
      <w:r>
        <w:t>7. Save and inspect it. An empty related list is valid when no records match; adding a list does not generate related records.</w:t>
      </w:r>
    </w:p>
    <w:p>
      <w:pPr>
        <w:ind w:left="274" w:hanging="274"/>
      </w:pPr>
      <w:r>
        <w:t>8. If the instance has a relationship that shows other incidents for the same caller, compare it with the filter from Day 4. Record the actual relationship name rather than inventing one.</w:t>
      </w:r>
    </w:p>
    <w:p>
      <w:pPr>
        <w:pStyle w:val="Heading2"/>
      </w:pPr>
      <w:r>
        <w:t>Validate and hand over</w:t>
      </w:r>
    </w:p>
    <w:p>
      <w:pPr>
        <w:ind w:left="274" w:hanging="274"/>
      </w:pPr>
      <w:r>
        <w:t>9. Confirm all mandatory fields are visible, the form saves, and the activity entries remain available.</w:t>
      </w:r>
    </w:p>
    <w:p>
      <w:pPr>
        <w:ind w:left="274" w:hanging="274"/>
      </w:pPr>
      <w:r>
        <w:t>10. Open the current update set's Customer Updates and inspect the captured layout configuration. Do not expect the incident's work note to be captured as application configuration.</w:t>
      </w:r>
    </w:p>
    <w:p>
      <w:pPr>
        <w:ind w:left="274" w:hanging="274"/>
      </w:pPr>
      <w:r>
        <w:t>11. Keep the lab view for later demonstrations. Record its name, table, capture set and a screenshot of Default versus the new view.</w:t>
      </w:r>
    </w:p>
    <w:tbl>
      <w:tblPr>
        <w:tblStyle w:val="TableGrid"/>
        <w:tblW w:type="auto" w:w="0"/>
        <w:tblLayout w:type="autofit"/>
        <w:tblLook w:firstColumn="1" w:firstRow="1" w:lastColumn="0" w:lastRow="0" w:noHBand="0" w:noVBand="1" w:val="04A0"/>
      </w:tblPr>
      <w:tblGrid>
        <w:gridCol w:w="4946"/>
        <w:gridCol w:w="4946"/>
      </w:tblGrid>
      <w:tr>
        <w:trPr>
          <w:cantSplit/>
          <w:tblHeader/>
        </w:trPr>
        <w:tc>
          <w:tcPr>
            <w:tcW w:type="dxa" w:w="4946"/>
            <w:shd w:fill="E4EEF0"/>
          </w:tcPr>
          <w:p>
            <w:pPr>
              <w:spacing w:after="60" w:before="60"/>
            </w:pPr>
            <w:r>
              <w:rPr>
                <w:b/>
                <w:sz w:val="18"/>
              </w:rPr>
              <w:t>Evidence</w:t>
            </w:r>
          </w:p>
        </w:tc>
        <w:tc>
          <w:tcPr>
            <w:tcW w:type="dxa" w:w="4946"/>
            <w:shd w:fill="E4EEF0"/>
          </w:tcPr>
          <w:p>
            <w:pPr>
              <w:spacing w:after="60" w:before="60"/>
            </w:pPr>
            <w:r>
              <w:rPr>
                <w:b/>
                <w:sz w:val="18"/>
              </w:rPr>
              <w:t>Your reference</w:t>
            </w:r>
          </w:p>
        </w:tc>
      </w:tr>
      <w:tr>
        <w:trPr>
          <w:cantSplit/>
        </w:trPr>
        <w:tc>
          <w:tcPr>
            <w:tcW w:type="dxa" w:w="4946"/>
          </w:tcPr>
          <w:p>
            <w:pPr>
              <w:spacing w:after="60" w:before="60"/>
            </w:pPr>
            <w:r>
              <w:rPr>
                <w:sz w:val="18"/>
              </w:rPr>
              <w:t>Lab view and table</w:t>
            </w:r>
          </w:p>
        </w:tc>
        <w:tc>
          <w:tcPr>
            <w:tcW w:type="dxa" w:w="4946"/>
          </w:tcPr>
          <w:p>
            <w:pPr>
              <w:spacing w:after="60" w:before="60"/>
            </w:pPr>
            <w:r>
              <w:rPr>
                <w:sz w:val="18"/>
              </w:rPr>
              <w:t>________________________</w:t>
            </w:r>
          </w:p>
        </w:tc>
      </w:tr>
      <w:tr>
        <w:trPr>
          <w:cantSplit/>
        </w:trPr>
        <w:tc>
          <w:tcPr>
            <w:tcW w:type="dxa" w:w="4946"/>
          </w:tcPr>
          <w:p>
            <w:pPr>
              <w:spacing w:after="60" w:before="60"/>
            </w:pPr>
            <w:r>
              <w:rPr>
                <w:sz w:val="18"/>
              </w:rPr>
              <w:t>Sample Number and sys_id</w:t>
            </w:r>
          </w:p>
        </w:tc>
        <w:tc>
          <w:tcPr>
            <w:tcW w:type="dxa" w:w="4946"/>
          </w:tcPr>
          <w:p>
            <w:pPr>
              <w:spacing w:after="60" w:before="60"/>
            </w:pPr>
            <w:r>
              <w:rPr>
                <w:sz w:val="18"/>
              </w:rPr>
              <w:t>________________________</w:t>
            </w:r>
          </w:p>
        </w:tc>
      </w:tr>
      <w:tr>
        <w:trPr>
          <w:cantSplit/>
        </w:trPr>
        <w:tc>
          <w:tcPr>
            <w:tcW w:type="dxa" w:w="4946"/>
          </w:tcPr>
          <w:p>
            <w:pPr>
              <w:spacing w:after="60" w:before="60"/>
            </w:pPr>
            <w:r>
              <w:rPr>
                <w:sz w:val="18"/>
              </w:rPr>
              <w:t>Update set</w:t>
            </w:r>
          </w:p>
        </w:tc>
        <w:tc>
          <w:tcPr>
            <w:tcW w:type="dxa" w:w="4946"/>
          </w:tcPr>
          <w:p>
            <w:pPr>
              <w:spacing w:after="60" w:before="60"/>
            </w:pPr>
            <w:r>
              <w:rPr>
                <w:sz w:val="18"/>
              </w:rPr>
              <w:t>________________________</w:t>
            </w:r>
          </w:p>
        </w:tc>
      </w:tr>
      <w:tr>
        <w:trPr>
          <w:cantSplit/>
        </w:trPr>
        <w:tc>
          <w:tcPr>
            <w:tcW w:type="dxa" w:w="4946"/>
          </w:tcPr>
          <w:p>
            <w:pPr>
              <w:spacing w:after="60" w:before="60"/>
            </w:pPr>
            <w:r>
              <w:rPr>
                <w:sz w:val="18"/>
              </w:rPr>
              <w:t>Personalization restored</w:t>
            </w:r>
          </w:p>
        </w:tc>
        <w:tc>
          <w:tcPr>
            <w:tcW w:type="dxa" w:w="4946"/>
          </w:tcPr>
          <w:p>
            <w:pPr>
              <w:spacing w:after="60" w:before="60"/>
            </w:pPr>
            <w:r>
              <w:rPr>
                <w:sz w:val="18"/>
              </w:rPr>
              <w:t>Yes or No</w:t>
            </w:r>
          </w:p>
        </w:tc>
      </w:tr>
    </w:tbl>
    <w:p>
      <w:pPr>
        <w:spacing w:after="0"/>
      </w:pPr>
    </w:p>
    <w:p>
      <w:r>
        <w:t>Hiding a field is a usability choice. It is not a substitute for a field ACL. Access-control practice follows in Day 8.</w:t>
      </w:r>
    </w:p>
    <w:p>
      <w:r>
        <w:br w:type="page"/>
      </w:r>
    </w:p>
    <w:p>
      <w:pPr>
        <w:pStyle w:val="Heading1"/>
      </w:pPr>
      <w:r>
        <w:t>Completion checks and troubleshooting</w:t>
      </w:r>
    </w:p>
    <w:tbl>
      <w:tblPr>
        <w:tblStyle w:val="TableGrid"/>
        <w:tblW w:type="auto" w:w="0"/>
        <w:tblLayout w:type="autofit"/>
        <w:tblLook w:firstColumn="1" w:firstRow="1" w:lastColumn="0" w:lastRow="0" w:noHBand="0" w:noVBand="1" w:val="04A0"/>
      </w:tblPr>
      <w:tblGrid>
        <w:gridCol w:w="4946"/>
        <w:gridCol w:w="4946"/>
      </w:tblGrid>
      <w:tr>
        <w:trPr>
          <w:cantSplit/>
          <w:tblHeader/>
        </w:trPr>
        <w:tc>
          <w:tcPr>
            <w:tcW w:type="dxa" w:w="4946"/>
            <w:shd w:fill="E4EEF0"/>
          </w:tcPr>
          <w:p>
            <w:pPr>
              <w:spacing w:after="60" w:before="60"/>
            </w:pPr>
            <w:r>
              <w:rPr>
                <w:b/>
                <w:sz w:val="18"/>
              </w:rPr>
              <w:t>Check</w:t>
            </w:r>
          </w:p>
        </w:tc>
        <w:tc>
          <w:tcPr>
            <w:tcW w:type="dxa" w:w="4946"/>
            <w:shd w:fill="E4EEF0"/>
          </w:tcPr>
          <w:p>
            <w:pPr>
              <w:spacing w:after="60" w:before="60"/>
            </w:pPr>
            <w:r>
              <w:rPr>
                <w:b/>
                <w:sz w:val="18"/>
              </w:rPr>
              <w:t>Result and evidence</w:t>
            </w:r>
          </w:p>
        </w:tc>
      </w:tr>
      <w:tr>
        <w:trPr>
          <w:cantSplit/>
        </w:trPr>
        <w:tc>
          <w:tcPr>
            <w:tcW w:type="dxa" w:w="4946"/>
          </w:tcPr>
          <w:p>
            <w:pPr>
              <w:spacing w:after="60" w:before="60"/>
            </w:pPr>
            <w:r>
              <w:rPr>
                <w:sz w:val="18"/>
              </w:rPr>
              <w:t>Dedicated view saved without replacing the default layout</w:t>
            </w:r>
          </w:p>
        </w:tc>
        <w:tc>
          <w:tcPr>
            <w:tcW w:type="dxa" w:w="4946"/>
          </w:tcPr>
          <w:p>
            <w:pPr>
              <w:spacing w:after="60" w:before="60"/>
            </w:pPr>
            <w:r>
              <w:rPr>
                <w:sz w:val="18"/>
              </w:rPr>
              <w:t>__________________</w:t>
            </w:r>
          </w:p>
        </w:tc>
      </w:tr>
      <w:tr>
        <w:trPr>
          <w:cantSplit/>
        </w:trPr>
        <w:tc>
          <w:tcPr>
            <w:tcW w:type="dxa" w:w="4946"/>
          </w:tcPr>
          <w:p>
            <w:pPr>
              <w:spacing w:after="60" w:before="60"/>
            </w:pPr>
            <w:r>
              <w:rPr>
                <w:sz w:val="18"/>
              </w:rPr>
              <w:t>Same record identity verified across views</w:t>
            </w:r>
          </w:p>
        </w:tc>
        <w:tc>
          <w:tcPr>
            <w:tcW w:type="dxa" w:w="4946"/>
          </w:tcPr>
          <w:p>
            <w:pPr>
              <w:spacing w:after="60" w:before="60"/>
            </w:pPr>
            <w:r>
              <w:rPr>
                <w:sz w:val="18"/>
              </w:rPr>
              <w:t>__________________</w:t>
            </w:r>
          </w:p>
        </w:tc>
      </w:tr>
      <w:tr>
        <w:trPr>
          <w:cantSplit/>
        </w:trPr>
        <w:tc>
          <w:tcPr>
            <w:tcW w:type="dxa" w:w="4946"/>
          </w:tcPr>
          <w:p>
            <w:pPr>
              <w:spacing w:after="60" w:before="60"/>
            </w:pPr>
            <w:r>
              <w:rPr>
                <w:sz w:val="18"/>
              </w:rPr>
              <w:t>Personalization compared and restored</w:t>
            </w:r>
          </w:p>
        </w:tc>
        <w:tc>
          <w:tcPr>
            <w:tcW w:type="dxa" w:w="4946"/>
          </w:tcPr>
          <w:p>
            <w:pPr>
              <w:spacing w:after="60" w:before="60"/>
            </w:pPr>
            <w:r>
              <w:rPr>
                <w:sz w:val="18"/>
              </w:rPr>
              <w:t>__________________</w:t>
            </w:r>
          </w:p>
        </w:tc>
      </w:tr>
      <w:tr>
        <w:trPr>
          <w:cantSplit/>
        </w:trPr>
        <w:tc>
          <w:tcPr>
            <w:tcW w:type="dxa" w:w="4946"/>
          </w:tcPr>
          <w:p>
            <w:pPr>
              <w:spacing w:after="60" w:before="60"/>
            </w:pPr>
            <w:r>
              <w:rPr>
                <w:sz w:val="18"/>
              </w:rPr>
              <w:t>Related list and captured layout inspected</w:t>
            </w:r>
          </w:p>
        </w:tc>
        <w:tc>
          <w:tcPr>
            <w:tcW w:type="dxa" w:w="4946"/>
          </w:tcPr>
          <w:p>
            <w:pPr>
              <w:spacing w:after="60" w:before="60"/>
            </w:pPr>
            <w:r>
              <w:rPr>
                <w:sz w:val="18"/>
              </w:rPr>
              <w:t>__________________</w:t>
            </w:r>
          </w:p>
        </w:tc>
      </w:tr>
    </w:tbl>
    <w:p>
      <w:pPr>
        <w:spacing w:after="0"/>
      </w:pPr>
    </w:p>
    <w:p>
      <w:pPr>
        <w:pStyle w:val="Heading2"/>
      </w:pPr>
      <w:r>
        <w:t>If something does not work</w:t>
      </w:r>
    </w:p>
    <w:tbl>
      <w:tblPr>
        <w:tblStyle w:val="TableGrid"/>
        <w:tblW w:type="auto" w:w="0"/>
        <w:tblLayout w:type="autofit"/>
        <w:tblLook w:firstColumn="1" w:firstRow="1" w:lastColumn="0" w:lastRow="0" w:noHBand="0" w:noVBand="1" w:val="04A0"/>
      </w:tblPr>
      <w:tblGrid>
        <w:gridCol w:w="4946"/>
        <w:gridCol w:w="4946"/>
      </w:tblGrid>
      <w:tr>
        <w:trPr>
          <w:cantSplit/>
          <w:tblHeader/>
        </w:trPr>
        <w:tc>
          <w:tcPr>
            <w:tcW w:type="dxa" w:w="4946"/>
            <w:shd w:fill="E4EEF0"/>
          </w:tcPr>
          <w:p>
            <w:pPr>
              <w:spacing w:after="60" w:before="60"/>
            </w:pPr>
            <w:r>
              <w:rPr>
                <w:b/>
                <w:sz w:val="18"/>
              </w:rPr>
              <w:t>Symptom</w:t>
            </w:r>
          </w:p>
        </w:tc>
        <w:tc>
          <w:tcPr>
            <w:tcW w:type="dxa" w:w="4946"/>
            <w:shd w:fill="E4EEF0"/>
          </w:tcPr>
          <w:p>
            <w:pPr>
              <w:spacing w:after="60" w:before="60"/>
            </w:pPr>
            <w:r>
              <w:rPr>
                <w:b/>
                <w:sz w:val="18"/>
              </w:rPr>
              <w:t>First check</w:t>
            </w:r>
          </w:p>
        </w:tc>
      </w:tr>
      <w:tr>
        <w:trPr>
          <w:cantSplit/>
        </w:trPr>
        <w:tc>
          <w:tcPr>
            <w:tcW w:type="dxa" w:w="4946"/>
          </w:tcPr>
          <w:p>
            <w:pPr>
              <w:spacing w:after="60" w:before="60"/>
            </w:pPr>
            <w:r>
              <w:rPr>
                <w:sz w:val="18"/>
              </w:rPr>
              <w:t>View is not visible</w:t>
            </w:r>
          </w:p>
        </w:tc>
        <w:tc>
          <w:tcPr>
            <w:tcW w:type="dxa" w:w="4946"/>
          </w:tcPr>
          <w:p>
            <w:pPr>
              <w:spacing w:after="60" w:before="60"/>
            </w:pPr>
            <w:r>
              <w:rPr>
                <w:sz w:val="18"/>
              </w:rPr>
              <w:t>Refresh the form, use the view selector and confirm the view belongs to the Incident table.</w:t>
            </w:r>
          </w:p>
        </w:tc>
      </w:tr>
      <w:tr>
        <w:trPr>
          <w:cantSplit/>
        </w:trPr>
        <w:tc>
          <w:tcPr>
            <w:tcW w:type="dxa" w:w="4946"/>
          </w:tcPr>
          <w:p>
            <w:pPr>
              <w:spacing w:after="60" w:before="60"/>
            </w:pPr>
            <w:r>
              <w:rPr>
                <w:sz w:val="18"/>
              </w:rPr>
              <w:t>Form cannot save</w:t>
            </w:r>
          </w:p>
        </w:tc>
        <w:tc>
          <w:tcPr>
            <w:tcW w:type="dxa" w:w="4946"/>
          </w:tcPr>
          <w:p>
            <w:pPr>
              <w:spacing w:after="60" w:before="60"/>
            </w:pPr>
            <w:r>
              <w:rPr>
                <w:sz w:val="18"/>
              </w:rPr>
              <w:t>Restore missing mandatory fields and inspect validation messages before changing dictionary settings.</w:t>
            </w:r>
          </w:p>
        </w:tc>
      </w:tr>
    </w:tbl>
    <w:p>
      <w:pPr>
        <w:spacing w:after="0"/>
      </w:pPr>
    </w:p>
    <w:p>
      <w:pPr>
        <w:pStyle w:val="Heading2"/>
      </w:pPr>
      <w:r>
        <w:t>Review your understanding</w:t>
      </w:r>
    </w:p>
    <w:p>
      <w:r>
        <w:rPr>
          <w:b/>
        </w:rPr>
        <w:t xml:space="preserve">Does a new view create another incident? </w:t>
      </w:r>
      <w:r>
        <w:t>No. Multiple views can show the same saved record.</w:t>
      </w:r>
    </w:p>
    <w:p>
      <w:r>
        <w:rPr>
          <w:b/>
        </w:rPr>
        <w:t xml:space="preserve">Does adding a related list create its records? </w:t>
      </w:r>
      <w:r>
        <w:t>No. It displays records that already satisfy the relationship.</w:t>
      </w:r>
    </w:p>
    <w:p>
      <w:pPr>
        <w:pStyle w:val="Heading2"/>
      </w:pPr>
      <w:r>
        <w:t>Submission</w:t>
      </w:r>
    </w:p>
    <w:p>
      <w:r>
        <w:t>Submit this completed document, the requested screenshots and actual record references. Keep working configuration for later days. Document any optional test you did not run and any unresolved blocker.</w:t>
      </w:r>
    </w:p>
    <w:p>
      <w:r>
        <w:t>Overall result: __________  Reviewer: __________  Date: __________</w:t>
        <w:br/>
        <w:t>Open issue and next action: __________________________________________</w:t>
      </w:r>
    </w:p>
    <w:sectPr w:rsidR="00FC693F" w:rsidRPr="0006063C" w:rsidSect="00034616">
      <w:headerReference w:type="default" r:id="rId9"/>
      <w:footerReference w:type="default" r:id="rId10"/>
      <w:pgSz w:w="11909" w:h="16834"/>
      <w:pgMar w:top="936" w:right="1008" w:bottom="893"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Day 06 Hands On Lab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526D78"/>
        <w:sz w:val="16"/>
      </w:rPr>
      <w:t>NS ServiceNow Blog    45 Day ServiceNow Master Class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Calibri" w:hAnsi="Calibri"/>
      <w:b/>
      <w:bCs/>
      <w:color w:val="163E4B"/>
      <w:sz w:val="34"/>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Calibri" w:hAnsi="Calibri"/>
      <w:b/>
      <w:bCs/>
      <w:color w:val="163E4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before="0"/>
      <w:contextualSpacing/>
    </w:pPr>
    <w:rPr>
      <w:rFonts w:asciiTheme="majorHAnsi" w:eastAsiaTheme="majorEastAsia" w:hAnsiTheme="majorHAnsi" w:cstheme="majorBidi" w:ascii="Calibri" w:hAnsi="Calibri"/>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spacing w:after="120" w:line="252" w:lineRule="auto"/>
      <w:ind w:left="720"/>
      <w:contextualSpacing/>
    </w:pPr>
    <w:rPr>
      <w:rFonts w:ascii="Calibri" w:hAnsi="Calibri"/>
      <w:sz w:val="21"/>
    </w:rPr>
  </w:style>
  <w:style w:type="paragraph" w:styleId="BodyText">
    <w:name w:val="Body Text"/>
    <w:basedOn w:val="Normal"/>
    <w:link w:val="BodyTextChar"/>
    <w:uiPriority w:val="99"/>
    <w:unhideWhenUsed/>
    <w:rsid w:val="00AA1D8D"/>
    <w:pPr>
      <w:spacing w:after="120" w:line="252" w:lineRule="auto"/>
    </w:pPr>
    <w:rPr>
      <w:rFonts w:ascii="Calibri" w:hAnsi="Calibri"/>
      <w:sz w:val="21"/>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Day 6 Forms Views and Related Lists Hands On Lab</dc:title>
  <dc:subject/>
  <dc:creator>NS ServiceNow Blog</dc:creator>
  <cp:keywords/>
  <dc:description>generated by python-docx</dc:description>
  <cp:lastModifiedBy/>
  <cp:revision>1</cp:revision>
  <dcterms:created xsi:type="dcterms:W3CDTF">2013-12-23T23:15:00Z</dcterms:created>
  <dcterms:modified xsi:type="dcterms:W3CDTF">2013-12-23T23:15:00Z</dcterms:modified>
  <cp:category/>
</cp:coreProperties>
</file>