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7 Hands On Lab</w:t>
      </w:r>
    </w:p>
    <w:p>
      <w:pPr>
        <w:pStyle w:val="Title"/>
      </w:pPr>
      <w:r>
        <w:t>Users Groups Roles and Impersonation</w:t>
      </w:r>
    </w:p>
    <w:p>
      <w:r>
        <w:t>Create the pilot users and groups, assign roles through groups, and test role inheritance without using admin as an employee test account.</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60 to 90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1 navigation and an approved administrator account. No custom training table is needed yet.</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Create the fictional pilot users</w:t>
      </w:r>
    </w:p>
    <w:p>
      <w:r>
        <w:t>Use this exact baseline throughout the later labs. Search by User ID first and reuse matching course users.</w:t>
      </w:r>
    </w:p>
    <w:tbl>
      <w:tblPr>
        <w:tblStyle w:val="TableGrid"/>
        <w:tblW w:type="auto" w:w="0"/>
        <w:tblLayout w:type="autofit"/>
        <w:tblLook w:firstColumn="1" w:firstRow="1" w:lastColumn="0" w:lastRow="0" w:noHBand="0" w:noVBand="1" w:val="04A0"/>
      </w:tblPr>
      <w:tblGrid>
        <w:gridCol w:w="2473"/>
        <w:gridCol w:w="2473"/>
        <w:gridCol w:w="2473"/>
        <w:gridCol w:w="2473"/>
      </w:tblGrid>
      <w:tr>
        <w:trPr>
          <w:cantSplit/>
          <w:tblHeader/>
        </w:trPr>
        <w:tc>
          <w:tcPr>
            <w:tcW w:type="dxa" w:w="2473"/>
            <w:shd w:fill="E4EEF0"/>
          </w:tcPr>
          <w:p>
            <w:pPr>
              <w:spacing w:after="60" w:before="60"/>
            </w:pPr>
            <w:r>
              <w:rPr>
                <w:b/>
                <w:sz w:val="18"/>
              </w:rPr>
              <w:t>User ID</w:t>
            </w:r>
          </w:p>
        </w:tc>
        <w:tc>
          <w:tcPr>
            <w:tcW w:type="dxa" w:w="2473"/>
            <w:shd w:fill="E4EEF0"/>
          </w:tcPr>
          <w:p>
            <w:pPr>
              <w:spacing w:after="60" w:before="60"/>
            </w:pPr>
            <w:r>
              <w:rPr>
                <w:b/>
                <w:sz w:val="18"/>
              </w:rPr>
              <w:t>Name</w:t>
            </w:r>
          </w:p>
        </w:tc>
        <w:tc>
          <w:tcPr>
            <w:tcW w:type="dxa" w:w="2473"/>
            <w:shd w:fill="E4EEF0"/>
          </w:tcPr>
          <w:p>
            <w:pPr>
              <w:spacing w:after="60" w:before="60"/>
            </w:pPr>
            <w:r>
              <w:rPr>
                <w:b/>
                <w:sz w:val="18"/>
              </w:rPr>
              <w:t>Email</w:t>
            </w:r>
          </w:p>
        </w:tc>
        <w:tc>
          <w:tcPr>
            <w:tcW w:type="dxa" w:w="2473"/>
            <w:shd w:fill="E4EEF0"/>
          </w:tcPr>
          <w:p>
            <w:pPr>
              <w:spacing w:after="60" w:before="60"/>
            </w:pPr>
            <w:r>
              <w:rPr>
                <w:b/>
                <w:sz w:val="18"/>
              </w:rPr>
              <w:t>Purpose</w:t>
            </w:r>
          </w:p>
        </w:tc>
      </w:tr>
      <w:tr>
        <w:trPr>
          <w:cantSplit/>
        </w:trPr>
        <w:tc>
          <w:tcPr>
            <w:tcW w:type="dxa" w:w="2473"/>
          </w:tcPr>
          <w:p>
            <w:pPr>
              <w:spacing w:after="60" w:before="60"/>
            </w:pPr>
            <w:r>
              <w:rPr>
                <w:sz w:val="18"/>
              </w:rPr>
              <w:t>ns.ravi.reader</w:t>
            </w:r>
          </w:p>
        </w:tc>
        <w:tc>
          <w:tcPr>
            <w:tcW w:type="dxa" w:w="2473"/>
          </w:tcPr>
          <w:p>
            <w:pPr>
              <w:spacing w:after="60" w:before="60"/>
            </w:pPr>
            <w:r>
              <w:rPr>
                <w:sz w:val="18"/>
              </w:rPr>
              <w:t>Ravi Reader</w:t>
            </w:r>
          </w:p>
        </w:tc>
        <w:tc>
          <w:tcPr>
            <w:tcW w:type="dxa" w:w="2473"/>
          </w:tcPr>
          <w:p>
            <w:pPr>
              <w:spacing w:after="60" w:before="60"/>
            </w:pPr>
            <w:r>
              <w:rPr>
                <w:sz w:val="18"/>
              </w:rPr>
              <w:t>ravi@example.com</w:t>
            </w:r>
          </w:p>
        </w:tc>
        <w:tc>
          <w:tcPr>
            <w:tcW w:type="dxa" w:w="2473"/>
          </w:tcPr>
          <w:p>
            <w:pPr>
              <w:spacing w:after="60" w:before="60"/>
            </w:pPr>
            <w:r>
              <w:rPr>
                <w:sz w:val="18"/>
              </w:rPr>
              <w:t>Pilot employee</w:t>
            </w:r>
          </w:p>
        </w:tc>
      </w:tr>
      <w:tr>
        <w:trPr>
          <w:cantSplit/>
        </w:trPr>
        <w:tc>
          <w:tcPr>
            <w:tcW w:type="dxa" w:w="2473"/>
          </w:tcPr>
          <w:p>
            <w:pPr>
              <w:spacing w:after="60" w:before="60"/>
            </w:pPr>
            <w:r>
              <w:rPr>
                <w:sz w:val="18"/>
              </w:rPr>
              <w:t>ns.asha.author</w:t>
            </w:r>
          </w:p>
        </w:tc>
        <w:tc>
          <w:tcPr>
            <w:tcW w:type="dxa" w:w="2473"/>
          </w:tcPr>
          <w:p>
            <w:pPr>
              <w:spacing w:after="60" w:before="60"/>
            </w:pPr>
            <w:r>
              <w:rPr>
                <w:sz w:val="18"/>
              </w:rPr>
              <w:t>Asha Author</w:t>
            </w:r>
          </w:p>
        </w:tc>
        <w:tc>
          <w:tcPr>
            <w:tcW w:type="dxa" w:w="2473"/>
          </w:tcPr>
          <w:p>
            <w:pPr>
              <w:spacing w:after="60" w:before="60"/>
            </w:pPr>
            <w:r>
              <w:rPr>
                <w:sz w:val="18"/>
              </w:rPr>
              <w:t>asha@example.com</w:t>
            </w:r>
          </w:p>
        </w:tc>
        <w:tc>
          <w:tcPr>
            <w:tcW w:type="dxa" w:w="2473"/>
          </w:tcPr>
          <w:p>
            <w:pPr>
              <w:spacing w:after="60" w:before="60"/>
            </w:pPr>
            <w:r>
              <w:rPr>
                <w:sz w:val="18"/>
              </w:rPr>
              <w:t>Knowledge author</w:t>
            </w:r>
          </w:p>
        </w:tc>
      </w:tr>
      <w:tr>
        <w:trPr>
          <w:cantSplit/>
        </w:trPr>
        <w:tc>
          <w:tcPr>
            <w:tcW w:type="dxa" w:w="2473"/>
          </w:tcPr>
          <w:p>
            <w:pPr>
              <w:spacing w:after="60" w:before="60"/>
            </w:pPr>
            <w:r>
              <w:rPr>
                <w:sz w:val="18"/>
              </w:rPr>
              <w:t>ns.kiran.manager</w:t>
            </w:r>
          </w:p>
        </w:tc>
        <w:tc>
          <w:tcPr>
            <w:tcW w:type="dxa" w:w="2473"/>
          </w:tcPr>
          <w:p>
            <w:pPr>
              <w:spacing w:after="60" w:before="60"/>
            </w:pPr>
            <w:r>
              <w:rPr>
                <w:sz w:val="18"/>
              </w:rPr>
              <w:t>Kiran Manager</w:t>
            </w:r>
          </w:p>
        </w:tc>
        <w:tc>
          <w:tcPr>
            <w:tcW w:type="dxa" w:w="2473"/>
          </w:tcPr>
          <w:p>
            <w:pPr>
              <w:spacing w:after="60" w:before="60"/>
            </w:pPr>
            <w:r>
              <w:rPr>
                <w:sz w:val="18"/>
              </w:rPr>
              <w:t>kiran@example.com</w:t>
            </w:r>
          </w:p>
        </w:tc>
        <w:tc>
          <w:tcPr>
            <w:tcW w:type="dxa" w:w="2473"/>
          </w:tcPr>
          <w:p>
            <w:pPr>
              <w:spacing w:after="60" w:before="60"/>
            </w:pPr>
            <w:r>
              <w:rPr>
                <w:sz w:val="18"/>
              </w:rPr>
              <w:t>Process owner and approver</w:t>
            </w:r>
          </w:p>
        </w:tc>
      </w:tr>
      <w:tr>
        <w:trPr>
          <w:cantSplit/>
        </w:trPr>
        <w:tc>
          <w:tcPr>
            <w:tcW w:type="dxa" w:w="2473"/>
          </w:tcPr>
          <w:p>
            <w:pPr>
              <w:spacing w:after="60" w:before="60"/>
            </w:pPr>
            <w:r>
              <w:rPr>
                <w:sz w:val="18"/>
              </w:rPr>
              <w:t>ns.maya.fulfiller</w:t>
            </w:r>
          </w:p>
        </w:tc>
        <w:tc>
          <w:tcPr>
            <w:tcW w:type="dxa" w:w="2473"/>
          </w:tcPr>
          <w:p>
            <w:pPr>
              <w:spacing w:after="60" w:before="60"/>
            </w:pPr>
            <w:r>
              <w:rPr>
                <w:sz w:val="18"/>
              </w:rPr>
              <w:t>Maya Fulfiller</w:t>
            </w:r>
          </w:p>
        </w:tc>
        <w:tc>
          <w:tcPr>
            <w:tcW w:type="dxa" w:w="2473"/>
          </w:tcPr>
          <w:p>
            <w:pPr>
              <w:spacing w:after="60" w:before="60"/>
            </w:pPr>
            <w:r>
              <w:rPr>
                <w:sz w:val="18"/>
              </w:rPr>
              <w:t>maya@example.com</w:t>
            </w:r>
          </w:p>
        </w:tc>
        <w:tc>
          <w:tcPr>
            <w:tcW w:type="dxa" w:w="2473"/>
          </w:tcPr>
          <w:p>
            <w:pPr>
              <w:spacing w:after="60" w:before="60"/>
            </w:pPr>
            <w:r>
              <w:rPr>
                <w:sz w:val="18"/>
              </w:rPr>
              <w:t>Coordinator and fulfiller</w:t>
            </w:r>
          </w:p>
        </w:tc>
      </w:tr>
      <w:tr>
        <w:trPr>
          <w:cantSplit/>
        </w:trPr>
        <w:tc>
          <w:tcPr>
            <w:tcW w:type="dxa" w:w="2473"/>
          </w:tcPr>
          <w:p>
            <w:pPr>
              <w:spacing w:after="60" w:before="60"/>
            </w:pPr>
            <w:r>
              <w:rPr>
                <w:sz w:val="18"/>
              </w:rPr>
              <w:t>ns.nina.outside</w:t>
            </w:r>
          </w:p>
        </w:tc>
        <w:tc>
          <w:tcPr>
            <w:tcW w:type="dxa" w:w="2473"/>
          </w:tcPr>
          <w:p>
            <w:pPr>
              <w:spacing w:after="60" w:before="60"/>
            </w:pPr>
            <w:r>
              <w:rPr>
                <w:sz w:val="18"/>
              </w:rPr>
              <w:t>Nina Outsider</w:t>
            </w:r>
          </w:p>
        </w:tc>
        <w:tc>
          <w:tcPr>
            <w:tcW w:type="dxa" w:w="2473"/>
          </w:tcPr>
          <w:p>
            <w:pPr>
              <w:spacing w:after="60" w:before="60"/>
            </w:pPr>
            <w:r>
              <w:rPr>
                <w:sz w:val="18"/>
              </w:rPr>
              <w:t>nina@example.com</w:t>
            </w:r>
          </w:p>
        </w:tc>
        <w:tc>
          <w:tcPr>
            <w:tcW w:type="dxa" w:w="2473"/>
          </w:tcPr>
          <w:p>
            <w:pPr>
              <w:spacing w:after="60" w:before="60"/>
            </w:pPr>
            <w:r>
              <w:rPr>
                <w:sz w:val="18"/>
              </w:rPr>
              <w:t>Negative access test</w:t>
            </w:r>
          </w:p>
        </w:tc>
      </w:tr>
    </w:tbl>
    <w:p>
      <w:pPr>
        <w:spacing w:after="0"/>
      </w:pPr>
    </w:p>
    <w:p>
      <w:pPr>
        <w:ind w:left="274" w:hanging="274"/>
      </w:pPr>
      <w:r>
        <w:t>1. Open User Administration &gt; Users &gt; New. Enter User ID, First name, Last name and the fictional email. Set Active true and leave Locked out false.</w:t>
      </w:r>
    </w:p>
    <w:p>
      <w:pPr>
        <w:ind w:left="274" w:hanging="274"/>
      </w:pPr>
      <w:r>
        <w:t>2. Save each user. If using interactive logins, have the instructor provide approved credentials. Do not publish passwords in this workbook.</w:t>
      </w:r>
    </w:p>
    <w:p>
      <w:pPr>
        <w:ind w:left="274" w:hanging="274"/>
      </w:pPr>
      <w:r>
        <w:t>3. Set Ravi's Manager to Kiran as optional sample data. This alone does not implement automatic approval routing.</w:t>
      </w:r>
    </w:p>
    <w:p>
      <w:pPr>
        <w:ind w:left="274" w:hanging="274"/>
      </w:pPr>
      <w:r>
        <w:t>4. Verify User ID and email uniqueness within the lab population. Duplicate email addresses will make the Day 11 reference import ambiguous.</w:t>
      </w:r>
    </w:p>
    <w:p>
      <w:pPr>
        <w:ind w:left="274" w:hanging="274"/>
      </w:pPr>
      <w:r>
        <w:t>5. Keep Ravi and Nina free of admin and broad management roles. They must remain meaningful reader and outsider test accounts.</w:t>
      </w:r>
    </w:p>
    <w:p>
      <w:r>
        <w:t>The account identifies the person. A group collects users for a purpose. A role grants capabilities when the platform configuration uses it.</w:t>
      </w:r>
    </w:p>
    <w:p>
      <w:r>
        <w:br w:type="page"/>
      </w:r>
    </w:p>
    <w:p>
      <w:pPr>
        <w:pStyle w:val="Heading1"/>
      </w:pPr>
      <w:r>
        <w:t>Create groups and verify inherited roles</w:t>
      </w:r>
    </w:p>
    <w:p>
      <w:pPr>
        <w:pStyle w:val="Heading2"/>
      </w:pPr>
      <w:r>
        <w:t>Group membership</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Group</w:t>
            </w:r>
          </w:p>
        </w:tc>
        <w:tc>
          <w:tcPr>
            <w:tcW w:type="dxa" w:w="4946"/>
            <w:shd w:fill="E4EEF0"/>
          </w:tcPr>
          <w:p>
            <w:pPr>
              <w:spacing w:after="60" w:before="60"/>
            </w:pPr>
            <w:r>
              <w:rPr>
                <w:b/>
                <w:sz w:val="18"/>
              </w:rPr>
              <w:t>Members</w:t>
            </w:r>
          </w:p>
        </w:tc>
      </w:tr>
      <w:tr>
        <w:trPr>
          <w:cantSplit/>
        </w:trPr>
        <w:tc>
          <w:tcPr>
            <w:tcW w:type="dxa" w:w="4946"/>
          </w:tcPr>
          <w:p>
            <w:pPr>
              <w:spacing w:after="60" w:before="60"/>
            </w:pPr>
            <w:r>
              <w:rPr>
                <w:sz w:val="18"/>
              </w:rPr>
              <w:t>NS Training Readers</w:t>
            </w:r>
          </w:p>
        </w:tc>
        <w:tc>
          <w:tcPr>
            <w:tcW w:type="dxa" w:w="4946"/>
          </w:tcPr>
          <w:p>
            <w:pPr>
              <w:spacing w:after="60" w:before="60"/>
            </w:pPr>
            <w:r>
              <w:rPr>
                <w:sz w:val="18"/>
              </w:rPr>
              <w:t>Ravi Asha Kiran Maya</w:t>
            </w:r>
          </w:p>
        </w:tc>
      </w:tr>
      <w:tr>
        <w:trPr>
          <w:cantSplit/>
        </w:trPr>
        <w:tc>
          <w:tcPr>
            <w:tcW w:type="dxa" w:w="4946"/>
          </w:tcPr>
          <w:p>
            <w:pPr>
              <w:spacing w:after="60" w:before="60"/>
            </w:pPr>
            <w:r>
              <w:rPr>
                <w:sz w:val="18"/>
              </w:rPr>
              <w:t>NS Training Authors</w:t>
            </w:r>
          </w:p>
        </w:tc>
        <w:tc>
          <w:tcPr>
            <w:tcW w:type="dxa" w:w="4946"/>
          </w:tcPr>
          <w:p>
            <w:pPr>
              <w:spacing w:after="60" w:before="60"/>
            </w:pPr>
            <w:r>
              <w:rPr>
                <w:sz w:val="18"/>
              </w:rPr>
              <w:t>Asha</w:t>
            </w:r>
          </w:p>
        </w:tc>
      </w:tr>
      <w:tr>
        <w:trPr>
          <w:cantSplit/>
        </w:trPr>
        <w:tc>
          <w:tcPr>
            <w:tcW w:type="dxa" w:w="4946"/>
          </w:tcPr>
          <w:p>
            <w:pPr>
              <w:spacing w:after="60" w:before="60"/>
            </w:pPr>
            <w:r>
              <w:rPr>
                <w:sz w:val="18"/>
              </w:rPr>
              <w:t>NS Training Coordinators</w:t>
            </w:r>
          </w:p>
        </w:tc>
        <w:tc>
          <w:tcPr>
            <w:tcW w:type="dxa" w:w="4946"/>
          </w:tcPr>
          <w:p>
            <w:pPr>
              <w:spacing w:after="60" w:before="60"/>
            </w:pPr>
            <w:r>
              <w:rPr>
                <w:sz w:val="18"/>
              </w:rPr>
              <w:t>Kiran Maya</w:t>
            </w:r>
          </w:p>
        </w:tc>
      </w:tr>
      <w:tr>
        <w:trPr>
          <w:cantSplit/>
        </w:trPr>
        <w:tc>
          <w:tcPr>
            <w:tcW w:type="dxa" w:w="4946"/>
          </w:tcPr>
          <w:p>
            <w:pPr>
              <w:spacing w:after="60" w:before="60"/>
            </w:pPr>
            <w:r>
              <w:rPr>
                <w:sz w:val="18"/>
              </w:rPr>
              <w:t>NS Training Fulfillment</w:t>
            </w:r>
          </w:p>
        </w:tc>
        <w:tc>
          <w:tcPr>
            <w:tcW w:type="dxa" w:w="4946"/>
          </w:tcPr>
          <w:p>
            <w:pPr>
              <w:spacing w:after="60" w:before="60"/>
            </w:pPr>
            <w:r>
              <w:rPr>
                <w:sz w:val="18"/>
              </w:rPr>
              <w:t>Maya</w:t>
            </w:r>
          </w:p>
        </w:tc>
      </w:tr>
    </w:tbl>
    <w:p>
      <w:pPr>
        <w:spacing w:after="0"/>
      </w:pPr>
    </w:p>
    <w:p>
      <w:pPr>
        <w:ind w:left="274" w:hanging="274"/>
      </w:pPr>
      <w:r>
        <w:t>1. Open User Administration &gt; Groups. Create or verify each group. Add members through Group Members &gt; Edit or the available membership action.</w:t>
      </w:r>
    </w:p>
    <w:p>
      <w:pPr>
        <w:ind w:left="274" w:hanging="274"/>
      </w:pPr>
      <w:r>
        <w:t>2. Set Kiran as Manager where appropriate for the teaching scenario. Being Group Manager does not automatically grant every approval or administrative permission.</w:t>
      </w:r>
    </w:p>
    <w:p>
      <w:pPr>
        <w:ind w:left="274" w:hanging="274"/>
      </w:pPr>
      <w:r>
        <w:t>3. In User Administration &gt; Roles, create Global roles u_ns_training_reader and u_ns_training_coordinator. Search for existing identical names before inserting.</w:t>
      </w:r>
    </w:p>
    <w:p>
      <w:pPr>
        <w:ind w:left="274" w:hanging="274"/>
      </w:pPr>
      <w:r>
        <w:t>4. On NS Training Readers, add u_ns_training_reader to Roles. On NS Training Coordinators, add u_ns_training_coordinator.</w:t>
      </w:r>
    </w:p>
    <w:p>
      <w:pPr>
        <w:ind w:left="274" w:hanging="274"/>
      </w:pPr>
      <w:r>
        <w:t>5. Give NS Training Authors the existing knowledge authoring role approved by your instructor, commonly knowledge. Day 12 also uses contribution criteria.</w:t>
      </w:r>
    </w:p>
    <w:p>
      <w:pPr>
        <w:ind w:left="274" w:hanging="274"/>
      </w:pPr>
      <w:r>
        <w:t>6. Have the instructor confirm the installed fulfiller and approver roles required for Maya and Kiran. Record the actual roles and entitlements instead of granting admin to make a test pass.</w:t>
      </w:r>
    </w:p>
    <w:p>
      <w:pPr>
        <w:ind w:left="274" w:hanging="274"/>
      </w:pPr>
      <w:r>
        <w:t>7. Open Ravi's effective roles and confirm the reader role is inherited through membership. Open Maya and verify reader plus coordinator.</w:t>
      </w:r>
    </w:p>
    <w:p>
      <w:pPr>
        <w:pStyle w:val="Heading2"/>
      </w:pPr>
      <w:r>
        <w:t>Test and restore</w:t>
      </w:r>
    </w:p>
    <w:p>
      <w:pPr>
        <w:ind w:left="274" w:hanging="274"/>
      </w:pPr>
      <w:r>
        <w:t>8. Impersonate Ravi if your setup account permits it. Confirm the displayed identity. Missing custom menus are expected before Day 8 creates them.</w:t>
      </w:r>
    </w:p>
    <w:p>
      <w:pPr>
        <w:ind w:left="274" w:hanging="274"/>
      </w:pPr>
      <w:r>
        <w:t>9. End impersonation. Temporarily remove Ravi from Readers, start a fresh test session and inspect the effective role again. Restore membership afterwards and verify it returns.</w:t>
      </w:r>
    </w:p>
    <w:p>
      <w:pPr>
        <w:ind w:left="274" w:hanging="274"/>
      </w:pPr>
      <w:r>
        <w:t>10. Open Nina and confirm no training-group memberships. Keep her for direct-link denial tests.</w:t>
      </w:r>
    </w:p>
    <w:p>
      <w:r>
        <w:t>Role removal can be affected by another group, a direct grant or role containment. Investigate the effective grant path before concluding the role was not removed.</w:t>
      </w:r>
    </w:p>
    <w:p>
      <w:r>
        <w:t>Fulfiller role confirmed: __________ Approver access confirmed: __________</w:t>
      </w:r>
    </w:p>
    <w:p>
      <w:r>
        <w:t>Do not expect the new custom roles to secure a table automatically. Day 8 connects them to navigation and ACLs.</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Five unique fictional users exist</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Four groups have the planned members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Custom roles inherited through the correct groups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Ravi membership restored and Nina remains outside</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Role still appears after removal</w:t>
            </w:r>
          </w:p>
        </w:tc>
        <w:tc>
          <w:tcPr>
            <w:tcW w:type="dxa" w:w="4946"/>
          </w:tcPr>
          <w:p>
            <w:pPr>
              <w:spacing w:after="60" w:before="60"/>
            </w:pPr>
            <w:r>
              <w:rPr>
                <w:sz w:val="18"/>
              </w:rPr>
              <w:t>Check direct assignments, other group grants, contained roles and the current session.</w:t>
            </w:r>
          </w:p>
        </w:tc>
      </w:tr>
      <w:tr>
        <w:trPr>
          <w:cantSplit/>
        </w:trPr>
        <w:tc>
          <w:tcPr>
            <w:tcW w:type="dxa" w:w="4946"/>
          </w:tcPr>
          <w:p>
            <w:pPr>
              <w:spacing w:after="60" w:before="60"/>
            </w:pPr>
            <w:r>
              <w:rPr>
                <w:sz w:val="18"/>
              </w:rPr>
              <w:t>Cannot impersonate a user</w:t>
            </w:r>
          </w:p>
        </w:tc>
        <w:tc>
          <w:tcPr>
            <w:tcW w:type="dxa" w:w="4946"/>
          </w:tcPr>
          <w:p>
            <w:pPr>
              <w:spacing w:after="60" w:before="60"/>
            </w:pPr>
            <w:r>
              <w:rPr>
                <w:sz w:val="18"/>
              </w:rPr>
              <w:t>Use an instructor-approved login method and record the access limitation.</w:t>
            </w:r>
          </w:p>
        </w:tc>
      </w:tr>
    </w:tbl>
    <w:p>
      <w:pPr>
        <w:spacing w:after="0"/>
      </w:pPr>
    </w:p>
    <w:p>
      <w:pPr>
        <w:pStyle w:val="Heading2"/>
      </w:pPr>
      <w:r>
        <w:t>Review your understanding</w:t>
      </w:r>
    </w:p>
    <w:p>
      <w:r>
        <w:rPr>
          <w:b/>
        </w:rPr>
        <w:t xml:space="preserve">Does a group name alone secure a table? </w:t>
      </w:r>
      <w:r>
        <w:t>No. Roles, criteria and access rules must use the group or its members.</w:t>
      </w:r>
    </w:p>
    <w:p>
      <w:r>
        <w:rPr>
          <w:b/>
        </w:rPr>
        <w:t xml:space="preserve">Why avoid testing with admin? </w:t>
      </w:r>
      <w:r>
        <w:t>Admin can bypass or exceed the permissions intended for ordinary users.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07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7 Users Groups Roles and Impersonation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