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10 Hands On Lab</w:t>
      </w:r>
    </w:p>
    <w:p>
      <w:pPr>
        <w:pStyle w:val="Title"/>
      </w:pPr>
      <w:r>
        <w:t>Plugins Properties and Update Sets</w:t>
      </w:r>
    </w:p>
    <w:p>
      <w:r>
        <w:t>Package a small training-register enhancement, distinguish configuration from data, and practice source export plus target preview and commit when a second instance is available.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90 to 120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Days 8 and 9 configuration. One practice instance for source work. A separately prepared second instance is optional for migration testing.</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Prepare the enhancement and inspect plugins</w:t>
      </w:r>
    </w:p>
    <w:p>
      <w:r>
        <w:t>The training coordinator wants an optional Training Provider field, a Draft Requests module, and a reusable support email property. No new plugin is required for this enhancement.</w:t>
      </w:r>
    </w:p>
    <w:p>
      <w:pPr>
        <w:pStyle w:val="Heading2"/>
      </w:pPr>
      <w:r>
        <w:t>Review prerequisites</w:t>
      </w:r>
    </w:p>
    <w:p>
      <w:pPr>
        <w:ind w:left="274" w:hanging="274"/>
      </w:pPr>
      <w:r>
        <w:t>1. Use Global. Locate the existing request table, form view and module. Record foundation update sets and actual technical names.</w:t>
      </w:r>
    </w:p>
    <w:p>
      <w:pPr>
        <w:ind w:left="274" w:hanging="274"/>
      </w:pPr>
      <w:r>
        <w:t>2. Open the installed application or plugin management view available to your setup account. Find an existing capability used in the series, such as Knowledge or Service Catalog.</w:t>
      </w:r>
    </w:p>
    <w:p>
      <w:pPr>
        <w:ind w:left="274" w:hanging="274"/>
      </w:pPr>
      <w:r>
        <w:t>3. Record its name, plugin or application identifier, installed state and version if shown. Inspect dependencies without activating unrelated or paid capabilities.</w:t>
      </w:r>
    </w:p>
    <w:p>
      <w:pPr>
        <w:ind w:left="274" w:hanging="274"/>
      </w:pPr>
      <w:r>
        <w:t>4. Explain that plugin activation is a separate environment prerequisite and is not reproduced merely by transporting an update set.</w:t>
      </w:r>
    </w:p>
    <w:p>
      <w:pPr>
        <w:pStyle w:val="Heading2"/>
      </w:pPr>
      <w:r>
        <w:t>Create the update set before changing configuration</w:t>
      </w:r>
    </w:p>
    <w:p>
      <w:pPr>
        <w:ind w:left="274" w:hanging="274"/>
      </w:pPr>
      <w:r>
        <w:t>5. Open System Update Sets &gt; Local Update Sets &gt; New. Name it NS_TRM_D10_Enhancements, set State In progress and Application Global, then save.</w:t>
      </w:r>
    </w:p>
    <w:p>
      <w:pPr>
        <w:ind w:left="274" w:hanging="274"/>
      </w:pPr>
      <w:r>
        <w:t>6. Make it current using the available action or picker. Verify the selected current set before continuing.</w:t>
      </w:r>
    </w:p>
    <w:p>
      <w:pPr>
        <w:ind w:left="274" w:hanging="274"/>
      </w:pPr>
      <w:r>
        <w:t>7. Add a description identifying the provider field, optional behavior, Draft module and support property. Note the Day 8 request table as a dependency.</w:t>
      </w:r>
    </w:p>
    <w:p>
      <w:pPr>
        <w:ind w:left="274" w:hanging="274"/>
      </w:pPr>
      <w:r>
        <w:t>8. Record the current update set and scope together. Changes in another scope or a different set may not appear in this package.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Item</w:t>
            </w:r>
          </w:p>
        </w:tc>
        <w:tc>
          <w:tcPr>
            <w:tcW w:type="dxa" w:w="4946"/>
            <w:shd w:fill="E4EEF0"/>
          </w:tcPr>
          <w:p>
            <w:pPr>
              <w:spacing w:after="60" w:before="60"/>
            </w:pPr>
            <w:r>
              <w:rPr>
                <w:b/>
                <w:sz w:val="18"/>
              </w:rPr>
              <w:t>Your recorded value</w:t>
            </w:r>
          </w:p>
        </w:tc>
      </w:tr>
      <w:tr>
        <w:trPr>
          <w:cantSplit/>
        </w:trPr>
        <w:tc>
          <w:tcPr>
            <w:tcW w:type="dxa" w:w="4946"/>
          </w:tcPr>
          <w:p>
            <w:pPr>
              <w:spacing w:after="60" w:before="60"/>
            </w:pPr>
            <w:r>
              <w:rPr>
                <w:sz w:val="18"/>
              </w:rPr>
              <w:t>Current update set</w:t>
            </w:r>
          </w:p>
        </w:tc>
        <w:tc>
          <w:tcPr>
            <w:tcW w:type="dxa" w:w="4946"/>
          </w:tcPr>
          <w:p>
            <w:pPr>
              <w:spacing w:after="60" w:before="60"/>
            </w:pPr>
            <w:r>
              <w:rPr>
                <w:sz w:val="18"/>
              </w:rPr>
              <w:t>________________________</w:t>
            </w:r>
          </w:p>
        </w:tc>
      </w:tr>
      <w:tr>
        <w:trPr>
          <w:cantSplit/>
        </w:trPr>
        <w:tc>
          <w:tcPr>
            <w:tcW w:type="dxa" w:w="4946"/>
          </w:tcPr>
          <w:p>
            <w:pPr>
              <w:spacing w:after="60" w:before="60"/>
            </w:pPr>
            <w:r>
              <w:rPr>
                <w:sz w:val="18"/>
              </w:rPr>
              <w:t>Scope</w:t>
            </w:r>
          </w:p>
        </w:tc>
        <w:tc>
          <w:tcPr>
            <w:tcW w:type="dxa" w:w="4946"/>
          </w:tcPr>
          <w:p>
            <w:pPr>
              <w:spacing w:after="60" w:before="60"/>
            </w:pPr>
            <w:r>
              <w:rPr>
                <w:sz w:val="18"/>
              </w:rPr>
              <w:t>Global</w:t>
            </w:r>
          </w:p>
        </w:tc>
      </w:tr>
      <w:tr>
        <w:trPr>
          <w:cantSplit/>
        </w:trPr>
        <w:tc>
          <w:tcPr>
            <w:tcW w:type="dxa" w:w="4946"/>
          </w:tcPr>
          <w:p>
            <w:pPr>
              <w:spacing w:after="60" w:before="60"/>
            </w:pPr>
            <w:r>
              <w:rPr>
                <w:sz w:val="18"/>
              </w:rPr>
              <w:t>Foundation dependency</w:t>
            </w:r>
          </w:p>
        </w:tc>
        <w:tc>
          <w:tcPr>
            <w:tcW w:type="dxa" w:w="4946"/>
          </w:tcPr>
          <w:p>
            <w:pPr>
              <w:spacing w:after="60" w:before="60"/>
            </w:pPr>
            <w:r>
              <w:rPr>
                <w:sz w:val="18"/>
              </w:rPr>
              <w:t>________________________</w:t>
            </w:r>
          </w:p>
        </w:tc>
      </w:tr>
      <w:tr>
        <w:trPr>
          <w:cantSplit/>
        </w:trPr>
        <w:tc>
          <w:tcPr>
            <w:tcW w:type="dxa" w:w="4946"/>
          </w:tcPr>
          <w:p>
            <w:pPr>
              <w:spacing w:after="60" w:before="60"/>
            </w:pPr>
            <w:r>
              <w:rPr>
                <w:sz w:val="18"/>
              </w:rPr>
              <w:t>Inspected installed capability</w:t>
            </w:r>
          </w:p>
        </w:tc>
        <w:tc>
          <w:tcPr>
            <w:tcW w:type="dxa" w:w="4946"/>
          </w:tcPr>
          <w:p>
            <w:pPr>
              <w:spacing w:after="60" w:before="60"/>
            </w:pPr>
            <w:r>
              <w:rPr>
                <w:sz w:val="18"/>
              </w:rPr>
              <w:t>________________________</w:t>
            </w:r>
          </w:p>
        </w:tc>
      </w:tr>
    </w:tbl>
    <w:p>
      <w:pPr>
        <w:spacing w:after="0"/>
      </w:pPr>
    </w:p>
    <w:p>
      <w:r>
        <w:t>Expected result: Configuration capture is selected before the enhancement is built.</w:t>
      </w:r>
    </w:p>
    <w:p>
      <w:r>
        <w:br w:type="page"/>
      </w:r>
    </w:p>
    <w:p>
      <w:pPr>
        <w:pStyle w:val="Heading1"/>
      </w:pPr>
      <w:r>
        <w:t>Create the field module and property</w:t>
      </w:r>
    </w:p>
    <w:p>
      <w:pPr>
        <w:pStyle w:val="Heading2"/>
      </w:pPr>
      <w:r>
        <w:t>Provider field</w:t>
      </w:r>
    </w:p>
    <w:p>
      <w:pPr>
        <w:ind w:left="274" w:hanging="274"/>
      </w:pPr>
      <w:r>
        <w:t>1. On u_ns_training_request, add Training Provider [u_training_provider], String, length 100, optional, blank default.</w:t>
      </w:r>
    </w:p>
    <w:p>
      <w:pPr>
        <w:ind w:left="274" w:hanging="274"/>
      </w:pPr>
      <w:r>
        <w:t>2. Add it after Course Name on the intended request form view. If the field already exists, verify its settings rather than creating another.</w:t>
      </w:r>
    </w:p>
    <w:p>
      <w:pPr>
        <w:ind w:left="274" w:hanging="274"/>
      </w:pPr>
      <w:r>
        <w:t>3. Save Example Academy on M1. Reopen it and verify the value. Save another otherwise valid record with Provider empty to prove it is optional.</w:t>
      </w:r>
    </w:p>
    <w:p>
      <w:pPr>
        <w:pStyle w:val="Heading2"/>
      </w:pPr>
      <w:r>
        <w:t>Draft module</w:t>
      </w:r>
    </w:p>
    <w:p>
      <w:pPr>
        <w:ind w:left="274" w:hanging="274"/>
      </w:pPr>
      <w:r>
        <w:t>4. Open NS Training Management &gt; Draft Requests in Application Menus configuration. Verify List of Records, table u_ns_training_request and Status is draft.</w:t>
      </w:r>
    </w:p>
    <w:p>
      <w:pPr>
        <w:ind w:left="274" w:hanging="274"/>
      </w:pPr>
      <w:r>
        <w:t>5. Save any needed lab correction under the current update set. Test the resulting list as Maya. Keep module roles and ACLs consistent with Day 8.</w:t>
      </w:r>
    </w:p>
    <w:p>
      <w:pPr>
        <w:pStyle w:val="Heading2"/>
      </w:pPr>
      <w:r>
        <w:t>Support property</w:t>
      </w:r>
    </w:p>
    <w:p>
      <w:pPr>
        <w:ind w:left="274" w:hanging="274"/>
      </w:pPr>
      <w:r>
        <w:t>6. As authorized administrator, open System Properties or sys_properties.list. Create or verify the property below.</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Property setting</w:t>
            </w:r>
          </w:p>
        </w:tc>
        <w:tc>
          <w:tcPr>
            <w:tcW w:type="dxa" w:w="4946"/>
            <w:shd w:fill="E4EEF0"/>
          </w:tcPr>
          <w:p>
            <w:pPr>
              <w:spacing w:after="60" w:before="60"/>
            </w:pPr>
            <w:r>
              <w:rPr>
                <w:b/>
                <w:sz w:val="18"/>
              </w:rPr>
              <w:t>Value</w:t>
            </w:r>
          </w:p>
        </w:tc>
      </w:tr>
      <w:tr>
        <w:trPr>
          <w:cantSplit/>
        </w:trPr>
        <w:tc>
          <w:tcPr>
            <w:tcW w:type="dxa" w:w="4946"/>
          </w:tcPr>
          <w:p>
            <w:pPr>
              <w:spacing w:after="60" w:before="60"/>
            </w:pPr>
            <w:r>
              <w:rPr>
                <w:sz w:val="18"/>
              </w:rPr>
              <w:t>Name</w:t>
            </w:r>
          </w:p>
        </w:tc>
        <w:tc>
          <w:tcPr>
            <w:tcW w:type="dxa" w:w="4946"/>
          </w:tcPr>
          <w:p>
            <w:pPr>
              <w:spacing w:after="60" w:before="60"/>
            </w:pPr>
            <w:r>
              <w:rPr>
                <w:sz w:val="18"/>
              </w:rPr>
              <w:t>ns.training.support_email</w:t>
            </w:r>
          </w:p>
        </w:tc>
      </w:tr>
      <w:tr>
        <w:trPr>
          <w:cantSplit/>
        </w:trPr>
        <w:tc>
          <w:tcPr>
            <w:tcW w:type="dxa" w:w="4946"/>
          </w:tcPr>
          <w:p>
            <w:pPr>
              <w:spacing w:after="60" w:before="60"/>
            </w:pPr>
            <w:r>
              <w:rPr>
                <w:sz w:val="18"/>
              </w:rPr>
              <w:t>Type</w:t>
            </w:r>
          </w:p>
        </w:tc>
        <w:tc>
          <w:tcPr>
            <w:tcW w:type="dxa" w:w="4946"/>
          </w:tcPr>
          <w:p>
            <w:pPr>
              <w:spacing w:after="60" w:before="60"/>
            </w:pPr>
            <w:r>
              <w:rPr>
                <w:sz w:val="18"/>
              </w:rPr>
              <w:t>String</w:t>
            </w:r>
          </w:p>
        </w:tc>
      </w:tr>
      <w:tr>
        <w:trPr>
          <w:cantSplit/>
        </w:trPr>
        <w:tc>
          <w:tcPr>
            <w:tcW w:type="dxa" w:w="4946"/>
          </w:tcPr>
          <w:p>
            <w:pPr>
              <w:spacing w:after="60" w:before="60"/>
            </w:pPr>
            <w:r>
              <w:rPr>
                <w:sz w:val="18"/>
              </w:rPr>
              <w:t>Value</w:t>
            </w:r>
          </w:p>
        </w:tc>
        <w:tc>
          <w:tcPr>
            <w:tcW w:type="dxa" w:w="4946"/>
          </w:tcPr>
          <w:p>
            <w:pPr>
              <w:spacing w:after="60" w:before="60"/>
            </w:pPr>
            <w:r>
              <w:rPr>
                <w:sz w:val="18"/>
              </w:rPr>
              <w:t>training@example.com</w:t>
            </w:r>
          </w:p>
        </w:tc>
      </w:tr>
      <w:tr>
        <w:trPr>
          <w:cantSplit/>
        </w:trPr>
        <w:tc>
          <w:tcPr>
            <w:tcW w:type="dxa" w:w="4946"/>
          </w:tcPr>
          <w:p>
            <w:pPr>
              <w:spacing w:after="60" w:before="60"/>
            </w:pPr>
            <w:r>
              <w:rPr>
                <w:sz w:val="18"/>
              </w:rPr>
              <w:t>Description</w:t>
            </w:r>
          </w:p>
        </w:tc>
        <w:tc>
          <w:tcPr>
            <w:tcW w:type="dxa" w:w="4946"/>
          </w:tcPr>
          <w:p>
            <w:pPr>
              <w:spacing w:after="60" w:before="60"/>
            </w:pPr>
            <w:r>
              <w:rPr>
                <w:sz w:val="18"/>
              </w:rPr>
              <w:t>Support address for future training communications</w:t>
            </w:r>
          </w:p>
        </w:tc>
      </w:tr>
      <w:tr>
        <w:trPr>
          <w:cantSplit/>
        </w:trPr>
        <w:tc>
          <w:tcPr>
            <w:tcW w:type="dxa" w:w="4946"/>
          </w:tcPr>
          <w:p>
            <w:pPr>
              <w:spacing w:after="60" w:before="60"/>
            </w:pPr>
            <w:r>
              <w:rPr>
                <w:sz w:val="18"/>
              </w:rPr>
              <w:t>Private</w:t>
            </w:r>
          </w:p>
        </w:tc>
        <w:tc>
          <w:tcPr>
            <w:tcW w:type="dxa" w:w="4946"/>
          </w:tcPr>
          <w:p>
            <w:pPr>
              <w:spacing w:after="60" w:before="60"/>
            </w:pPr>
            <w:r>
              <w:rPr>
                <w:sz w:val="18"/>
              </w:rPr>
              <w:t>Clear for this portable fictional value</w:t>
            </w:r>
          </w:p>
        </w:tc>
      </w:tr>
    </w:tbl>
    <w:p>
      <w:pPr>
        <w:spacing w:after="0"/>
      </w:pPr>
    </w:p>
    <w:p>
      <w:pPr>
        <w:ind w:left="274" w:hanging="274"/>
      </w:pPr>
      <w:r>
        <w:t>7. Save and reopen the property. Explain that storing this value does not send email or change notifications until a later configuration reads it.</w:t>
      </w:r>
    </w:p>
    <w:p>
      <w:pPr>
        <w:ind w:left="274" w:hanging="274"/>
      </w:pPr>
      <w:r>
        <w:t>8. Inspect Customer Updates for the field, layout, module and property. If an existing object was not changed, do not claim a new captured update exists for it.</w:t>
      </w:r>
    </w:p>
    <w:p>
      <w:pPr>
        <w:ind w:left="274" w:hanging="274"/>
      </w:pPr>
      <w:r>
        <w:t>9. Create a fictional training request and inspect the package again. Ordinary request data is not automatically captured like dictionary configuration.</w:t>
      </w:r>
    </w:p>
    <w:p>
      <w:r>
        <w:t>Record actual captured objects and any separately handled records. A populated property value also needs review on the target because environment-specific values can differ.</w:t>
      </w:r>
    </w:p>
    <w:p>
      <w:r>
        <w:br w:type="page"/>
      </w:r>
    </w:p>
    <w:p>
      <w:pPr>
        <w:pStyle w:val="Heading1"/>
      </w:pPr>
      <w:r>
        <w:t>Export and move captured configuration</w:t>
      </w:r>
    </w:p>
    <w:p>
      <w:pPr>
        <w:pStyle w:val="Heading2"/>
      </w:pPr>
      <w:r>
        <w:t>Source instance</w:t>
      </w:r>
    </w:p>
    <w:p>
      <w:pPr>
        <w:ind w:left="274" w:hanging="274"/>
      </w:pPr>
      <w:r>
        <w:t>1. Review Customer Updates while the set is In progress. Check object names, table dependencies and unrelated changes with the instructor.</w:t>
      </w:r>
    </w:p>
    <w:p>
      <w:pPr>
        <w:ind w:left="274" w:hanging="274"/>
      </w:pPr>
      <w:r>
        <w:t>2. Test Provider, the Draft module and the property on the source. Record results and any open issue.</w:t>
      </w:r>
    </w:p>
    <w:p>
      <w:pPr>
        <w:ind w:left="274" w:hanging="274"/>
      </w:pPr>
      <w:r>
        <w:t>3. Mark the reviewed set Complete. Use Export to XML from the update set. Save the file alongside dependency and test notes.</w:t>
      </w:r>
    </w:p>
    <w:p>
      <w:pPr>
        <w:ind w:left="274" w:hanging="274"/>
      </w:pPr>
      <w:r>
        <w:t>4. Explain the difference between update-set XML for captured configuration and XML exported for an individual business record.</w:t>
      </w:r>
    </w:p>
    <w:p>
      <w:pPr>
        <w:pStyle w:val="Heading2"/>
      </w:pPr>
      <w:r>
        <w:t>Second practice instance only</w:t>
      </w:r>
    </w:p>
    <w:p>
      <w:pPr>
        <w:ind w:left="274" w:hanging="274"/>
      </w:pPr>
      <w:r>
        <w:t>5. Confirm the target is a different approved environment with compatible capabilities and the required foundation configuration already present.</w:t>
      </w:r>
    </w:p>
    <w:p>
      <w:pPr>
        <w:ind w:left="274" w:hanging="274"/>
      </w:pPr>
      <w:r>
        <w:t>6. Open Retrieved Update Sets and use Import Update Set from XML, or retrieve from an approved update source. Select your completed package.</w:t>
      </w:r>
    </w:p>
    <w:p>
      <w:pPr>
        <w:ind w:left="274" w:hanging="274"/>
      </w:pPr>
      <w:r>
        <w:t>7. Open the retrieved set and run Preview Update Set. Inspect every preview problem. Resolve missing dependencies or collisions with a documented decision; do not skip errors just to enable Commit.</w:t>
      </w:r>
    </w:p>
    <w:p>
      <w:pPr>
        <w:ind w:left="274" w:hanging="274"/>
      </w:pPr>
      <w:r>
        <w:t>8. Commit only after the review is clear. Record the commit outcome. Do not confuse a successful preview with a successful deployment.</w:t>
      </w:r>
    </w:p>
    <w:p>
      <w:pPr>
        <w:ind w:left="274" w:hanging="274"/>
      </w:pPr>
      <w:r>
        <w:t>9. Recreate approved fictional test data separately where needed. Verify the provider field, optional save, module condition and intended target property value.</w:t>
      </w:r>
    </w:p>
    <w:p>
      <w:pPr>
        <w:ind w:left="274" w:hanging="274"/>
      </w:pPr>
      <w:r>
        <w:t>10. Test access as an ordinary permitted user and record target evidence. Do not overwrite environment-specific target values without the agreed requirement.</w:t>
      </w:r>
    </w:p>
    <w:p>
      <w:r>
        <w:t>With one instance, complete source creation and export, then mark target preview, commit and retest Not performed. Importing the same package back into the source does not demonstrate movement to another instance.</w:t>
      </w:r>
    </w:p>
    <w:p>
      <w:pPr>
        <w:pStyle w:val="Heading2"/>
      </w:pPr>
      <w:r>
        <w:t>Recovery discussion</w:t>
      </w:r>
    </w:p>
    <w:p>
      <w:r>
        <w:t>An update-set backout is not a universal restore of business data. Record conflicts and a recovery plan before using it. This lab does not require a destructive backout exercise.</w:t>
      </w:r>
    </w:p>
    <w:p>
      <w:r>
        <w:t>Source URL: __________ Target URL if used: __________ XML filename: __________</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Installed capability inspected without unnecessary activation</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Provider optional save and Draft filter tested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Support property saved and its purpose explained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Captured and non-captured items listed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Completed source XML exported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Target steps executed or clearly marked Not performed</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Expected change is absent</w:t>
            </w:r>
          </w:p>
        </w:tc>
        <w:tc>
          <w:tcPr>
            <w:tcW w:type="dxa" w:w="4946"/>
          </w:tcPr>
          <w:p>
            <w:pPr>
              <w:spacing w:after="60" w:before="60"/>
            </w:pPr>
            <w:r>
              <w:rPr>
                <w:sz w:val="18"/>
              </w:rPr>
              <w:t>Check scope, current set, whether the object actually changed and its supported capture behavior.</w:t>
            </w:r>
          </w:p>
        </w:tc>
      </w:tr>
      <w:tr>
        <w:trPr>
          <w:cantSplit/>
        </w:trPr>
        <w:tc>
          <w:tcPr>
            <w:tcW w:type="dxa" w:w="4946"/>
          </w:tcPr>
          <w:p>
            <w:pPr>
              <w:spacing w:after="60" w:before="60"/>
            </w:pPr>
            <w:r>
              <w:rPr>
                <w:sz w:val="18"/>
              </w:rPr>
              <w:t>Preview reports a collision</w:t>
            </w:r>
          </w:p>
        </w:tc>
        <w:tc>
          <w:tcPr>
            <w:tcW w:type="dxa" w:w="4946"/>
          </w:tcPr>
          <w:p>
            <w:pPr>
              <w:spacing w:after="60" w:before="60"/>
            </w:pPr>
            <w:r>
              <w:rPr>
                <w:sz w:val="18"/>
              </w:rPr>
              <w:t>Compare source and target versions and document the selected resolution with the instructor.</w:t>
            </w:r>
          </w:p>
        </w:tc>
      </w:tr>
    </w:tbl>
    <w:p>
      <w:pPr>
        <w:spacing w:after="0"/>
      </w:pPr>
    </w:p>
    <w:p>
      <w:pPr>
        <w:pStyle w:val="Heading2"/>
      </w:pPr>
      <w:r>
        <w:t>Review your understanding</w:t>
      </w:r>
    </w:p>
    <w:p>
      <w:r>
        <w:rPr>
          <w:b/>
        </w:rPr>
        <w:t xml:space="preserve">Does an update set include all training request records? </w:t>
      </w:r>
      <w:r>
        <w:t>No. Business data requires separate planning.</w:t>
      </w:r>
    </w:p>
    <w:p>
      <w:r>
        <w:rPr>
          <w:b/>
        </w:rPr>
        <w:t xml:space="preserve">Does Preview apply the configuration? </w:t>
      </w:r>
      <w:r>
        <w:t>No. Commit applies it after preview review, and testing still follows.</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p>
      <w:pPr>
        <w:pStyle w:val="Heading2"/>
      </w:pPr>
      <w:r>
        <w:t>Official reference topics</w:t>
      </w:r>
    </w:p>
    <w:p>
      <w:r>
        <w:t>Select Australia in the documentation release selector. Generic links may open a newer release.</w:t>
      </w:r>
    </w:p>
    <w:p>
      <w:pPr>
        <w:spacing w:after="60"/>
      </w:pPr>
      <w:r>
        <w:rPr>
          <w:sz w:val="16"/>
        </w:rPr>
        <w:t>https://www.servicenow.com/docs/r/application-development/system-update-sets/t_PreviewARemoteUpdateSet.html</w:t>
      </w:r>
    </w:p>
    <w:p>
      <w:pPr>
        <w:spacing w:after="60"/>
      </w:pPr>
      <w:r>
        <w:rPr>
          <w:sz w:val="16"/>
        </w:rPr>
        <w:t>https://www.servicenow.com/docs/r/application-development/system-update-sets/t_CommitAnUpdateSet.html</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10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10 Plugins Properties and Update Sets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