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Day 11 Hands On Lab</w:t>
      </w:r>
    </w:p>
    <w:p>
      <w:pPr>
        <w:pStyle w:val="Title"/>
      </w:pPr>
      <w:r>
        <w:t>Import Sets and Transform Maps</w:t>
      </w:r>
    </w:p>
    <w:p>
      <w:r>
        <w:t>Load two datasets into staging, map them into the training register, prove insert and update behavior with coalesce, and investigate an invalid reference.</w:t>
      </w:r>
    </w:p>
    <w:tbl>
      <w:tblPr>
        <w:tblStyle w:val="TableGrid"/>
        <w:tblW w:type="auto" w:w="0"/>
        <w:tblLayout w:type="autofit"/>
        <w:tblLook w:firstColumn="1" w:firstRow="1" w:lastColumn="0" w:lastRow="0" w:noHBand="0" w:noVBand="1" w:val="04A0"/>
      </w:tblPr>
      <w:tblGrid>
        <w:gridCol w:w="4946"/>
        <w:gridCol w:w="4946"/>
      </w:tblGrid>
      <w:tr>
        <w:trPr>
          <w:cantSplit/>
          <w:tblHeader/>
        </w:trPr>
        <w:tc>
          <w:tcPr>
            <w:tcW w:type="dxa" w:w="4946"/>
            <w:shd w:fill="E4EEF0"/>
          </w:tcPr>
          <w:p>
            <w:pPr>
              <w:spacing w:after="60" w:before="60"/>
            </w:pPr>
            <w:r>
              <w:rPr>
                <w:b/>
                <w:sz w:val="18"/>
              </w:rPr>
              <w:t>Lab detail</w:t>
            </w:r>
          </w:p>
        </w:tc>
        <w:tc>
          <w:tcPr>
            <w:tcW w:type="dxa" w:w="4946"/>
            <w:shd w:fill="E4EEF0"/>
          </w:tcPr>
          <w:p>
            <w:pPr>
              <w:spacing w:after="60" w:before="60"/>
            </w:pPr>
            <w:r>
              <w:rPr>
                <w:b/>
                <w:sz w:val="18"/>
              </w:rPr>
              <w:t>Plan</w:t>
            </w:r>
          </w:p>
        </w:tc>
      </w:tr>
      <w:tr>
        <w:trPr>
          <w:cantSplit/>
        </w:trPr>
        <w:tc>
          <w:tcPr>
            <w:tcW w:type="dxa" w:w="4946"/>
          </w:tcPr>
          <w:p>
            <w:pPr>
              <w:spacing w:after="60" w:before="60"/>
            </w:pPr>
            <w:r>
              <w:rPr>
                <w:sz w:val="18"/>
              </w:rPr>
              <w:t>Level</w:t>
            </w:r>
          </w:p>
        </w:tc>
        <w:tc>
          <w:tcPr>
            <w:tcW w:type="dxa" w:w="4946"/>
          </w:tcPr>
          <w:p>
            <w:pPr>
              <w:spacing w:after="60" w:before="60"/>
            </w:pPr>
            <w:r>
              <w:rPr>
                <w:sz w:val="18"/>
              </w:rPr>
              <w:t>Level 1 beginner</w:t>
            </w:r>
          </w:p>
        </w:tc>
      </w:tr>
      <w:tr>
        <w:trPr>
          <w:cantSplit/>
        </w:trPr>
        <w:tc>
          <w:tcPr>
            <w:tcW w:type="dxa" w:w="4946"/>
          </w:tcPr>
          <w:p>
            <w:pPr>
              <w:spacing w:after="60" w:before="60"/>
            </w:pPr>
            <w:r>
              <w:rPr>
                <w:sz w:val="18"/>
              </w:rPr>
              <w:t>Estimated practice time</w:t>
            </w:r>
          </w:p>
        </w:tc>
        <w:tc>
          <w:tcPr>
            <w:tcW w:type="dxa" w:w="4946"/>
          </w:tcPr>
          <w:p>
            <w:pPr>
              <w:spacing w:after="60" w:before="60"/>
            </w:pPr>
            <w:r>
              <w:rPr>
                <w:sz w:val="18"/>
              </w:rPr>
              <w:t>120 to 150 minutes</w:t>
            </w:r>
          </w:p>
        </w:tc>
      </w:tr>
      <w:tr>
        <w:trPr>
          <w:cantSplit/>
        </w:trPr>
        <w:tc>
          <w:tcPr>
            <w:tcW w:type="dxa" w:w="4946"/>
          </w:tcPr>
          <w:p>
            <w:pPr>
              <w:spacing w:after="60" w:before="60"/>
            </w:pPr>
            <w:r>
              <w:rPr>
                <w:sz w:val="18"/>
              </w:rPr>
              <w:t>Course baseline</w:t>
            </w:r>
          </w:p>
        </w:tc>
        <w:tc>
          <w:tcPr>
            <w:tcW w:type="dxa" w:w="4946"/>
          </w:tcPr>
          <w:p>
            <w:pPr>
              <w:spacing w:after="60" w:before="60"/>
            </w:pPr>
            <w:r>
              <w:rPr>
                <w:sz w:val="18"/>
              </w:rPr>
              <w:t>Australia release and Global scope for configuration</w:t>
            </w:r>
          </w:p>
        </w:tc>
      </w:tr>
      <w:tr>
        <w:trPr>
          <w:cantSplit/>
        </w:trPr>
        <w:tc>
          <w:tcPr>
            <w:tcW w:type="dxa" w:w="4946"/>
          </w:tcPr>
          <w:p>
            <w:pPr>
              <w:spacing w:after="60" w:before="60"/>
            </w:pPr>
            <w:r>
              <w:rPr>
                <w:sz w:val="18"/>
              </w:rPr>
              <w:t>Business scenario</w:t>
            </w:r>
          </w:p>
        </w:tc>
        <w:tc>
          <w:tcPr>
            <w:tcW w:type="dxa" w:w="4946"/>
          </w:tcPr>
          <w:p>
            <w:pPr>
              <w:spacing w:after="60" w:before="60"/>
            </w:pPr>
            <w:r>
              <w:rPr>
                <w:sz w:val="18"/>
              </w:rPr>
              <w:t>NS Technologies Training Service Management</w:t>
            </w:r>
          </w:p>
        </w:tc>
      </w:tr>
    </w:tbl>
    <w:p>
      <w:pPr>
        <w:spacing w:after="0"/>
      </w:pPr>
    </w:p>
    <w:p>
      <w:pPr>
        <w:pStyle w:val="Heading1"/>
      </w:pPr>
      <w:r>
        <w:t>Before you begin</w:t>
      </w:r>
    </w:p>
    <w:p>
      <w:r>
        <w:t>Days 7 to 10, including unique user emails and Provider on the custom register. Spreadsheet software for preparing the two included data specifications.</w:t>
      </w:r>
    </w:p>
    <w:p>
      <w:r>
        <w:t>Use an approved practice instance and fictional information. Search for matching course objects before creating them. Reuse your own existing lab records and write down technical names that differ from this workbook.</w:t>
      </w:r>
    </w:p>
    <w:p>
      <w:r>
        <w:t>Menu labels and available actions vary by release, installed capabilities and roles. Use the same function in your interface and record any unavailable prerequisite as Blocked. Do not mark an unexecuted test as passed.</w:t>
      </w:r>
    </w:p>
    <w:p>
      <w:pPr>
        <w:pStyle w:val="Heading1"/>
      </w:pPr>
      <w:r>
        <w:t>Your lab record</w:t>
      </w:r>
    </w:p>
    <w:tbl>
      <w:tblPr>
        <w:tblStyle w:val="TableGrid"/>
        <w:tblW w:type="auto" w:w="0"/>
        <w:tblLayout w:type="autofit"/>
        <w:tblLook w:firstColumn="1" w:firstRow="1" w:lastColumn="0" w:lastRow="0" w:noHBand="0" w:noVBand="1" w:val="04A0"/>
      </w:tblPr>
      <w:tblGrid>
        <w:gridCol w:w="4946"/>
        <w:gridCol w:w="4946"/>
      </w:tblGrid>
      <w:tr>
        <w:trPr>
          <w:cantSplit/>
          <w:tblHeader/>
        </w:trPr>
        <w:tc>
          <w:tcPr>
            <w:tcW w:type="dxa" w:w="4946"/>
            <w:shd w:fill="E4EEF0"/>
          </w:tcPr>
          <w:p>
            <w:pPr>
              <w:spacing w:after="60" w:before="60"/>
            </w:pPr>
            <w:r>
              <w:rPr>
                <w:b/>
                <w:sz w:val="18"/>
              </w:rPr>
              <w:t>Record</w:t>
            </w:r>
          </w:p>
        </w:tc>
        <w:tc>
          <w:tcPr>
            <w:tcW w:type="dxa" w:w="4946"/>
            <w:shd w:fill="E4EEF0"/>
          </w:tcPr>
          <w:p>
            <w:pPr>
              <w:spacing w:after="60" w:before="60"/>
            </w:pPr>
            <w:r>
              <w:rPr>
                <w:b/>
                <w:sz w:val="18"/>
              </w:rPr>
              <w:t>Your entry</w:t>
            </w:r>
          </w:p>
        </w:tc>
      </w:tr>
      <w:tr>
        <w:trPr>
          <w:cantSplit/>
        </w:trPr>
        <w:tc>
          <w:tcPr>
            <w:tcW w:type="dxa" w:w="4946"/>
          </w:tcPr>
          <w:p>
            <w:pPr>
              <w:spacing w:after="60" w:before="60"/>
            </w:pPr>
            <w:r>
              <w:rPr>
                <w:sz w:val="18"/>
              </w:rPr>
              <w:t>Learner and date</w:t>
            </w:r>
          </w:p>
        </w:tc>
        <w:tc>
          <w:tcPr>
            <w:tcW w:type="dxa" w:w="4946"/>
          </w:tcPr>
          <w:p>
            <w:pPr>
              <w:spacing w:after="60" w:before="60"/>
            </w:pPr>
            <w:r>
              <w:rPr>
                <w:sz w:val="18"/>
              </w:rPr>
              <w:t>_____________________________________</w:t>
            </w:r>
          </w:p>
        </w:tc>
      </w:tr>
      <w:tr>
        <w:trPr>
          <w:cantSplit/>
        </w:trPr>
        <w:tc>
          <w:tcPr>
            <w:tcW w:type="dxa" w:w="4946"/>
          </w:tcPr>
          <w:p>
            <w:pPr>
              <w:spacing w:after="60" w:before="60"/>
            </w:pPr>
            <w:r>
              <w:rPr>
                <w:sz w:val="18"/>
              </w:rPr>
              <w:t>Instance and release</w:t>
            </w:r>
          </w:p>
        </w:tc>
        <w:tc>
          <w:tcPr>
            <w:tcW w:type="dxa" w:w="4946"/>
          </w:tcPr>
          <w:p>
            <w:pPr>
              <w:spacing w:after="60" w:before="60"/>
            </w:pPr>
            <w:r>
              <w:rPr>
                <w:sz w:val="18"/>
              </w:rPr>
              <w:t>_____________________________________</w:t>
            </w:r>
          </w:p>
        </w:tc>
      </w:tr>
      <w:tr>
        <w:trPr>
          <w:cantSplit/>
        </w:trPr>
        <w:tc>
          <w:tcPr>
            <w:tcW w:type="dxa" w:w="4946"/>
          </w:tcPr>
          <w:p>
            <w:pPr>
              <w:spacing w:after="60" w:before="60"/>
            </w:pPr>
            <w:r>
              <w:rPr>
                <w:sz w:val="18"/>
              </w:rPr>
              <w:t>Setup account and test users</w:t>
            </w:r>
          </w:p>
        </w:tc>
        <w:tc>
          <w:tcPr>
            <w:tcW w:type="dxa" w:w="4946"/>
          </w:tcPr>
          <w:p>
            <w:pPr>
              <w:spacing w:after="60" w:before="60"/>
            </w:pPr>
            <w:r>
              <w:rPr>
                <w:sz w:val="18"/>
              </w:rPr>
              <w:t>_____________________________________</w:t>
            </w:r>
          </w:p>
        </w:tc>
      </w:tr>
      <w:tr>
        <w:trPr>
          <w:cantSplit/>
        </w:trPr>
        <w:tc>
          <w:tcPr>
            <w:tcW w:type="dxa" w:w="4946"/>
          </w:tcPr>
          <w:p>
            <w:pPr>
              <w:spacing w:after="60" w:before="60"/>
            </w:pPr>
            <w:r>
              <w:rPr>
                <w:sz w:val="18"/>
              </w:rPr>
              <w:t>Current update set if configuring</w:t>
            </w:r>
          </w:p>
        </w:tc>
        <w:tc>
          <w:tcPr>
            <w:tcW w:type="dxa" w:w="4946"/>
          </w:tcPr>
          <w:p>
            <w:pPr>
              <w:spacing w:after="60" w:before="60"/>
            </w:pPr>
            <w:r>
              <w:rPr>
                <w:sz w:val="18"/>
              </w:rPr>
              <w:t>_____________________________________</w:t>
            </w:r>
          </w:p>
        </w:tc>
      </w:tr>
      <w:tr>
        <w:trPr>
          <w:cantSplit/>
        </w:trPr>
        <w:tc>
          <w:tcPr>
            <w:tcW w:type="dxa" w:w="4946"/>
          </w:tcPr>
          <w:p>
            <w:pPr>
              <w:spacing w:after="60" w:before="60"/>
            </w:pPr>
            <w:r>
              <w:rPr>
                <w:sz w:val="18"/>
              </w:rPr>
              <w:t>Evidence folder</w:t>
            </w:r>
          </w:p>
        </w:tc>
        <w:tc>
          <w:tcPr>
            <w:tcW w:type="dxa" w:w="4946"/>
          </w:tcPr>
          <w:p>
            <w:pPr>
              <w:spacing w:after="60" w:before="60"/>
            </w:pPr>
            <w:r>
              <w:rPr>
                <w:sz w:val="18"/>
              </w:rPr>
              <w:t>_____________________________________</w:t>
            </w:r>
          </w:p>
        </w:tc>
      </w:tr>
    </w:tbl>
    <w:p>
      <w:pPr>
        <w:spacing w:after="0"/>
      </w:pPr>
    </w:p>
    <w:p>
      <w:pPr>
        <w:pStyle w:val="Heading1"/>
      </w:pPr>
      <w:r>
        <w:t>How to complete this lab</w:t>
      </w:r>
    </w:p>
    <w:p>
      <w:r>
        <w:t>Follow the task pages in order. Keep screenshots and actual record identifiers with this document. On the final page, record each result as Pass, Fail, Blocked or Not performed and explain any difference from the expected result.</w:t>
      </w:r>
    </w:p>
    <w:p>
      <w:r>
        <w:br w:type="page"/>
      </w:r>
    </w:p>
    <w:p>
      <w:pPr>
        <w:pStyle w:val="Heading1"/>
      </w:pPr>
      <w:r>
        <w:t>Prepare the target and the two source files</w:t>
      </w:r>
    </w:p>
    <w:p>
      <w:r>
        <w:t>The training team has historical requests in a spreadsheet. Import them into u_ns_training_request. These records are separate from the later catalog reporting population.</w:t>
      </w:r>
    </w:p>
    <w:p>
      <w:pPr>
        <w:ind w:left="274" w:hanging="274"/>
      </w:pPr>
      <w:r>
        <w:t>1. Create and make current NS_TRM_D11_Imports. Add External Request ID [u_external_request_id], String length 40, to the request table. It is optional for manual records but must be nonempty and unique in each import row.</w:t>
      </w:r>
    </w:p>
    <w:p>
      <w:pPr>
        <w:ind w:left="274" w:hanging="274"/>
      </w:pPr>
      <w:r>
        <w:t>2. In a spreadsheet, create these headers on row 1: External Request ID, Course, Employee Email, Justification, Preferred Date, Delivery Mode, Estimated Cost PLN, Status, Provider.</w:t>
      </w:r>
    </w:p>
    <w:p>
      <w:pPr>
        <w:ind w:left="274" w:hanging="274"/>
      </w:pPr>
      <w:r>
        <w:t>3. Save Training_Requests_Initial.xlsx using the three rows specified across the tables. Store Preferred Date as yyyy-MM-dd text. All providers initially equal Example Academy.</w:t>
      </w:r>
    </w:p>
    <w:tbl>
      <w:tblPr>
        <w:tblStyle w:val="TableGrid"/>
        <w:tblW w:type="auto" w:w="0"/>
        <w:tblLayout w:type="autofit"/>
        <w:tblLook w:firstColumn="1" w:firstRow="1" w:lastColumn="0" w:lastRow="0" w:noHBand="0" w:noVBand="1" w:val="04A0"/>
      </w:tblPr>
      <w:tblGrid>
        <w:gridCol w:w="3298"/>
        <w:gridCol w:w="3298"/>
        <w:gridCol w:w="3298"/>
      </w:tblGrid>
      <w:tr>
        <w:trPr>
          <w:cantSplit/>
          <w:tblHeader/>
        </w:trPr>
        <w:tc>
          <w:tcPr>
            <w:tcW w:type="dxa" w:w="3298"/>
            <w:shd w:fill="E4EEF0"/>
          </w:tcPr>
          <w:p>
            <w:pPr>
              <w:spacing w:after="60" w:before="60"/>
            </w:pPr>
            <w:r>
              <w:rPr>
                <w:b/>
                <w:sz w:val="18"/>
              </w:rPr>
              <w:t>External Request ID</w:t>
            </w:r>
          </w:p>
        </w:tc>
        <w:tc>
          <w:tcPr>
            <w:tcW w:type="dxa" w:w="3298"/>
            <w:shd w:fill="E4EEF0"/>
          </w:tcPr>
          <w:p>
            <w:pPr>
              <w:spacing w:after="60" w:before="60"/>
            </w:pPr>
            <w:r>
              <w:rPr>
                <w:b/>
                <w:sz w:val="18"/>
              </w:rPr>
              <w:t>Course</w:t>
            </w:r>
          </w:p>
        </w:tc>
        <w:tc>
          <w:tcPr>
            <w:tcW w:type="dxa" w:w="3298"/>
            <w:shd w:fill="E4EEF0"/>
          </w:tcPr>
          <w:p>
            <w:pPr>
              <w:spacing w:after="60" w:before="60"/>
            </w:pPr>
            <w:r>
              <w:rPr>
                <w:b/>
                <w:sz w:val="18"/>
              </w:rPr>
              <w:t>Employee Email</w:t>
            </w:r>
          </w:p>
        </w:tc>
      </w:tr>
      <w:tr>
        <w:trPr>
          <w:cantSplit/>
        </w:trPr>
        <w:tc>
          <w:tcPr>
            <w:tcW w:type="dxa" w:w="3298"/>
          </w:tcPr>
          <w:p>
            <w:pPr>
              <w:spacing w:after="60" w:before="60"/>
            </w:pPr>
            <w:r>
              <w:rPr>
                <w:sz w:val="18"/>
              </w:rPr>
              <w:t>EXT-TR-001</w:t>
            </w:r>
          </w:p>
        </w:tc>
        <w:tc>
          <w:tcPr>
            <w:tcW w:type="dxa" w:w="3298"/>
          </w:tcPr>
          <w:p>
            <w:pPr>
              <w:spacing w:after="60" w:before="60"/>
            </w:pPr>
            <w:r>
              <w:rPr>
                <w:sz w:val="18"/>
              </w:rPr>
              <w:t>ServiceNow Fundamentals</w:t>
            </w:r>
          </w:p>
        </w:tc>
        <w:tc>
          <w:tcPr>
            <w:tcW w:type="dxa" w:w="3298"/>
          </w:tcPr>
          <w:p>
            <w:pPr>
              <w:spacing w:after="60" w:before="60"/>
            </w:pPr>
            <w:r>
              <w:rPr>
                <w:sz w:val="18"/>
              </w:rPr>
              <w:t>ravi@example.com</w:t>
            </w:r>
          </w:p>
        </w:tc>
      </w:tr>
      <w:tr>
        <w:trPr>
          <w:cantSplit/>
        </w:trPr>
        <w:tc>
          <w:tcPr>
            <w:tcW w:type="dxa" w:w="3298"/>
          </w:tcPr>
          <w:p>
            <w:pPr>
              <w:spacing w:after="60" w:before="60"/>
            </w:pPr>
            <w:r>
              <w:rPr>
                <w:sz w:val="18"/>
              </w:rPr>
              <w:t>EXT-TR-002</w:t>
            </w:r>
          </w:p>
        </w:tc>
        <w:tc>
          <w:tcPr>
            <w:tcW w:type="dxa" w:w="3298"/>
          </w:tcPr>
          <w:p>
            <w:pPr>
              <w:spacing w:after="60" w:before="60"/>
            </w:pPr>
            <w:r>
              <w:rPr>
                <w:sz w:val="18"/>
              </w:rPr>
              <w:t>ITIL Foundation</w:t>
            </w:r>
          </w:p>
        </w:tc>
        <w:tc>
          <w:tcPr>
            <w:tcW w:type="dxa" w:w="3298"/>
          </w:tcPr>
          <w:p>
            <w:pPr>
              <w:spacing w:after="60" w:before="60"/>
            </w:pPr>
            <w:r>
              <w:rPr>
                <w:sz w:val="18"/>
              </w:rPr>
              <w:t>maya@example.com</w:t>
            </w:r>
          </w:p>
        </w:tc>
      </w:tr>
      <w:tr>
        <w:trPr>
          <w:cantSplit/>
        </w:trPr>
        <w:tc>
          <w:tcPr>
            <w:tcW w:type="dxa" w:w="3298"/>
          </w:tcPr>
          <w:p>
            <w:pPr>
              <w:spacing w:after="60" w:before="60"/>
            </w:pPr>
            <w:r>
              <w:rPr>
                <w:sz w:val="18"/>
              </w:rPr>
              <w:t>EXT-TR-003</w:t>
            </w:r>
          </w:p>
        </w:tc>
        <w:tc>
          <w:tcPr>
            <w:tcW w:type="dxa" w:w="3298"/>
          </w:tcPr>
          <w:p>
            <w:pPr>
              <w:spacing w:after="60" w:before="60"/>
            </w:pPr>
            <w:r>
              <w:rPr>
                <w:sz w:val="18"/>
              </w:rPr>
              <w:t>Reporting Basics</w:t>
            </w:r>
          </w:p>
        </w:tc>
        <w:tc>
          <w:tcPr>
            <w:tcW w:type="dxa" w:w="3298"/>
          </w:tcPr>
          <w:p>
            <w:pPr>
              <w:spacing w:after="60" w:before="60"/>
            </w:pPr>
            <w:r>
              <w:rPr>
                <w:sz w:val="18"/>
              </w:rPr>
              <w:t>ravi@example.com</w:t>
            </w:r>
          </w:p>
        </w:tc>
      </w:tr>
    </w:tbl>
    <w:p>
      <w:pPr>
        <w:spacing w:after="0"/>
      </w:pPr>
    </w:p>
    <w:tbl>
      <w:tblPr>
        <w:tblStyle w:val="TableGrid"/>
        <w:tblW w:type="auto" w:w="0"/>
        <w:tblLayout w:type="autofit"/>
        <w:tblLook w:firstColumn="1" w:firstRow="1" w:lastColumn="0" w:lastRow="0" w:noHBand="0" w:noVBand="1" w:val="04A0"/>
      </w:tblPr>
      <w:tblGrid>
        <w:gridCol w:w="1649"/>
        <w:gridCol w:w="1649"/>
        <w:gridCol w:w="1649"/>
        <w:gridCol w:w="1649"/>
        <w:gridCol w:w="1649"/>
        <w:gridCol w:w="1649"/>
      </w:tblGrid>
      <w:tr>
        <w:trPr>
          <w:cantSplit/>
          <w:tblHeader/>
        </w:trPr>
        <w:tc>
          <w:tcPr>
            <w:tcW w:type="dxa" w:w="1649"/>
            <w:shd w:fill="E4EEF0"/>
          </w:tcPr>
          <w:p>
            <w:pPr>
              <w:spacing w:after="60" w:before="60"/>
            </w:pPr>
            <w:r>
              <w:rPr>
                <w:b/>
                <w:sz w:val="18"/>
              </w:rPr>
              <w:t>ID suffix</w:t>
            </w:r>
          </w:p>
        </w:tc>
        <w:tc>
          <w:tcPr>
            <w:tcW w:type="dxa" w:w="1649"/>
            <w:shd w:fill="E4EEF0"/>
          </w:tcPr>
          <w:p>
            <w:pPr>
              <w:spacing w:after="60" w:before="60"/>
            </w:pPr>
            <w:r>
              <w:rPr>
                <w:b/>
                <w:sz w:val="18"/>
              </w:rPr>
              <w:t>Justification</w:t>
            </w:r>
          </w:p>
        </w:tc>
        <w:tc>
          <w:tcPr>
            <w:tcW w:type="dxa" w:w="1649"/>
            <w:shd w:fill="E4EEF0"/>
          </w:tcPr>
          <w:p>
            <w:pPr>
              <w:spacing w:after="60" w:before="60"/>
            </w:pPr>
            <w:r>
              <w:rPr>
                <w:b/>
                <w:sz w:val="18"/>
              </w:rPr>
              <w:t>Date</w:t>
            </w:r>
          </w:p>
        </w:tc>
        <w:tc>
          <w:tcPr>
            <w:tcW w:type="dxa" w:w="1649"/>
            <w:shd w:fill="E4EEF0"/>
          </w:tcPr>
          <w:p>
            <w:pPr>
              <w:spacing w:after="60" w:before="60"/>
            </w:pPr>
            <w:r>
              <w:rPr>
                <w:b/>
                <w:sz w:val="18"/>
              </w:rPr>
              <w:t>Mode</w:t>
            </w:r>
          </w:p>
        </w:tc>
        <w:tc>
          <w:tcPr>
            <w:tcW w:type="dxa" w:w="1649"/>
            <w:shd w:fill="E4EEF0"/>
          </w:tcPr>
          <w:p>
            <w:pPr>
              <w:spacing w:after="60" w:before="60"/>
            </w:pPr>
            <w:r>
              <w:rPr>
                <w:b/>
                <w:sz w:val="18"/>
              </w:rPr>
              <w:t>Cost</w:t>
            </w:r>
          </w:p>
        </w:tc>
        <w:tc>
          <w:tcPr>
            <w:tcW w:type="dxa" w:w="1649"/>
            <w:shd w:fill="E4EEF0"/>
          </w:tcPr>
          <w:p>
            <w:pPr>
              <w:spacing w:after="60" w:before="60"/>
            </w:pPr>
            <w:r>
              <w:rPr>
                <w:b/>
                <w:sz w:val="18"/>
              </w:rPr>
              <w:t>Status</w:t>
            </w:r>
          </w:p>
        </w:tc>
      </w:tr>
      <w:tr>
        <w:trPr>
          <w:cantSplit/>
        </w:trPr>
        <w:tc>
          <w:tcPr>
            <w:tcW w:type="dxa" w:w="1649"/>
          </w:tcPr>
          <w:p>
            <w:pPr>
              <w:spacing w:after="60" w:before="60"/>
            </w:pPr>
            <w:r>
              <w:rPr>
                <w:sz w:val="18"/>
              </w:rPr>
              <w:t>001</w:t>
            </w:r>
          </w:p>
        </w:tc>
        <w:tc>
          <w:tcPr>
            <w:tcW w:type="dxa" w:w="1649"/>
          </w:tcPr>
          <w:p>
            <w:pPr>
              <w:spacing w:after="60" w:before="60"/>
            </w:pPr>
            <w:r>
              <w:rPr>
                <w:sz w:val="18"/>
              </w:rPr>
              <w:t>Support platform work</w:t>
            </w:r>
          </w:p>
        </w:tc>
        <w:tc>
          <w:tcPr>
            <w:tcW w:type="dxa" w:w="1649"/>
          </w:tcPr>
          <w:p>
            <w:pPr>
              <w:spacing w:after="60" w:before="60"/>
            </w:pPr>
            <w:r>
              <w:rPr>
                <w:sz w:val="18"/>
              </w:rPr>
              <w:t>2026-11-10</w:t>
            </w:r>
          </w:p>
        </w:tc>
        <w:tc>
          <w:tcPr>
            <w:tcW w:type="dxa" w:w="1649"/>
          </w:tcPr>
          <w:p>
            <w:pPr>
              <w:spacing w:after="60" w:before="60"/>
            </w:pPr>
            <w:r>
              <w:rPr>
                <w:sz w:val="18"/>
              </w:rPr>
              <w:t>online</w:t>
            </w:r>
          </w:p>
        </w:tc>
        <w:tc>
          <w:tcPr>
            <w:tcW w:type="dxa" w:w="1649"/>
          </w:tcPr>
          <w:p>
            <w:pPr>
              <w:spacing w:after="60" w:before="60"/>
            </w:pPr>
            <w:r>
              <w:rPr>
                <w:sz w:val="18"/>
              </w:rPr>
              <w:t>800</w:t>
            </w:r>
          </w:p>
        </w:tc>
        <w:tc>
          <w:tcPr>
            <w:tcW w:type="dxa" w:w="1649"/>
          </w:tcPr>
          <w:p>
            <w:pPr>
              <w:spacing w:after="60" w:before="60"/>
            </w:pPr>
            <w:r>
              <w:rPr>
                <w:sz w:val="18"/>
              </w:rPr>
              <w:t>draft</w:t>
            </w:r>
          </w:p>
        </w:tc>
      </w:tr>
      <w:tr>
        <w:trPr>
          <w:cantSplit/>
        </w:trPr>
        <w:tc>
          <w:tcPr>
            <w:tcW w:type="dxa" w:w="1649"/>
          </w:tcPr>
          <w:p>
            <w:pPr>
              <w:spacing w:after="60" w:before="60"/>
            </w:pPr>
            <w:r>
              <w:rPr>
                <w:sz w:val="18"/>
              </w:rPr>
              <w:t>002</w:t>
            </w:r>
          </w:p>
        </w:tc>
        <w:tc>
          <w:tcPr>
            <w:tcW w:type="dxa" w:w="1649"/>
          </w:tcPr>
          <w:p>
            <w:pPr>
              <w:spacing w:after="60" w:before="60"/>
            </w:pPr>
            <w:r>
              <w:rPr>
                <w:sz w:val="18"/>
              </w:rPr>
              <w:t>Improve service practice</w:t>
            </w:r>
          </w:p>
        </w:tc>
        <w:tc>
          <w:tcPr>
            <w:tcW w:type="dxa" w:w="1649"/>
          </w:tcPr>
          <w:p>
            <w:pPr>
              <w:spacing w:after="60" w:before="60"/>
            </w:pPr>
            <w:r>
              <w:rPr>
                <w:sz w:val="18"/>
              </w:rPr>
              <w:t>2026-11-17</w:t>
            </w:r>
          </w:p>
        </w:tc>
        <w:tc>
          <w:tcPr>
            <w:tcW w:type="dxa" w:w="1649"/>
          </w:tcPr>
          <w:p>
            <w:pPr>
              <w:spacing w:after="60" w:before="60"/>
            </w:pPr>
            <w:r>
              <w:rPr>
                <w:sz w:val="18"/>
              </w:rPr>
              <w:t>classroom</w:t>
            </w:r>
          </w:p>
        </w:tc>
        <w:tc>
          <w:tcPr>
            <w:tcW w:type="dxa" w:w="1649"/>
          </w:tcPr>
          <w:p>
            <w:pPr>
              <w:spacing w:after="60" w:before="60"/>
            </w:pPr>
            <w:r>
              <w:rPr>
                <w:sz w:val="18"/>
              </w:rPr>
              <w:t>1200</w:t>
            </w:r>
          </w:p>
        </w:tc>
        <w:tc>
          <w:tcPr>
            <w:tcW w:type="dxa" w:w="1649"/>
          </w:tcPr>
          <w:p>
            <w:pPr>
              <w:spacing w:after="60" w:before="60"/>
            </w:pPr>
            <w:r>
              <w:rPr>
                <w:sz w:val="18"/>
              </w:rPr>
              <w:t>pending_approval</w:t>
            </w:r>
          </w:p>
        </w:tc>
      </w:tr>
      <w:tr>
        <w:trPr>
          <w:cantSplit/>
        </w:trPr>
        <w:tc>
          <w:tcPr>
            <w:tcW w:type="dxa" w:w="1649"/>
          </w:tcPr>
          <w:p>
            <w:pPr>
              <w:spacing w:after="60" w:before="60"/>
            </w:pPr>
            <w:r>
              <w:rPr>
                <w:sz w:val="18"/>
              </w:rPr>
              <w:t>003</w:t>
            </w:r>
          </w:p>
        </w:tc>
        <w:tc>
          <w:tcPr>
            <w:tcW w:type="dxa" w:w="1649"/>
          </w:tcPr>
          <w:p>
            <w:pPr>
              <w:spacing w:after="60" w:before="60"/>
            </w:pPr>
            <w:r>
              <w:rPr>
                <w:sz w:val="18"/>
              </w:rPr>
              <w:t>Improve reporting skills</w:t>
            </w:r>
          </w:p>
        </w:tc>
        <w:tc>
          <w:tcPr>
            <w:tcW w:type="dxa" w:w="1649"/>
          </w:tcPr>
          <w:p>
            <w:pPr>
              <w:spacing w:after="60" w:before="60"/>
            </w:pPr>
            <w:r>
              <w:rPr>
                <w:sz w:val="18"/>
              </w:rPr>
              <w:t>2026-11-24</w:t>
            </w:r>
          </w:p>
        </w:tc>
        <w:tc>
          <w:tcPr>
            <w:tcW w:type="dxa" w:w="1649"/>
          </w:tcPr>
          <w:p>
            <w:pPr>
              <w:spacing w:after="60" w:before="60"/>
            </w:pPr>
            <w:r>
              <w:rPr>
                <w:sz w:val="18"/>
              </w:rPr>
              <w:t>online</w:t>
            </w:r>
          </w:p>
        </w:tc>
        <w:tc>
          <w:tcPr>
            <w:tcW w:type="dxa" w:w="1649"/>
          </w:tcPr>
          <w:p>
            <w:pPr>
              <w:spacing w:after="60" w:before="60"/>
            </w:pPr>
            <w:r>
              <w:rPr>
                <w:sz w:val="18"/>
              </w:rPr>
              <w:t>500</w:t>
            </w:r>
          </w:p>
        </w:tc>
        <w:tc>
          <w:tcPr>
            <w:tcW w:type="dxa" w:w="1649"/>
          </w:tcPr>
          <w:p>
            <w:pPr>
              <w:spacing w:after="60" w:before="60"/>
            </w:pPr>
            <w:r>
              <w:rPr>
                <w:sz w:val="18"/>
              </w:rPr>
              <w:t>draft</w:t>
            </w:r>
          </w:p>
        </w:tc>
      </w:tr>
    </w:tbl>
    <w:p>
      <w:pPr>
        <w:spacing w:after="0"/>
      </w:pPr>
    </w:p>
    <w:p>
      <w:pPr>
        <w:ind w:left="274" w:hanging="274"/>
      </w:pPr>
      <w:r>
        <w:t>4. Save Training_Requests_Updates.xlsx with the same headers. Copy the entire 002 row and change only Provider to Northstar Learning. Add EXT-TR-004 with Course ServiceNow Administration, Employee Email ravi@example.com, Justification Develop admin skills, Date 2026-12-01, Mode online, Cost 900, Status draft, Provider Example Academy.</w:t>
      </w:r>
    </w:p>
    <w:p>
      <w:pPr>
        <w:ind w:left="274" w:hanging="274"/>
      </w:pPr>
      <w:r>
        <w:t>5. Inspect the target for those four keys before running. Expected insert counts below assume none already exists. Do not delete unrelated data to force the expected counts.</w:t>
      </w:r>
    </w:p>
    <w:p>
      <w:pPr>
        <w:ind w:left="274" w:hanging="274"/>
      </w:pPr>
      <w:r>
        <w:t>6. Verify each email identifies exactly one existing user. The dates are fixed fictional lab values, not actual bookings.</w:t>
      </w:r>
    </w:p>
    <w:p>
      <w:r>
        <w:br w:type="page"/>
      </w:r>
    </w:p>
    <w:p>
      <w:pPr>
        <w:pStyle w:val="Heading1"/>
      </w:pPr>
      <w:r>
        <w:t>Load staging and configure the transform</w:t>
      </w:r>
    </w:p>
    <w:p>
      <w:pPr>
        <w:ind w:left="274" w:hanging="274"/>
      </w:pPr>
      <w:r>
        <w:t>1. Open System Import Sets &gt; Load Data. Select the initial workbook, create an import table labelled NS Training Request Import and record its generated technical name. Select the matching file format and header row.</w:t>
      </w:r>
    </w:p>
    <w:p>
      <w:pPr>
        <w:ind w:left="274" w:hanging="274"/>
      </w:pPr>
      <w:r>
        <w:t>2. Load the file, then open the imported data. Confirm three staging rows and the correct source values. Loading staging does not insert the target requests yet.</w:t>
      </w:r>
    </w:p>
    <w:p>
      <w:pPr>
        <w:ind w:left="274" w:hanging="274"/>
      </w:pPr>
      <w:r>
        <w:t>3. Create Transform Map NS Training Request Transform. Set Source table to the actual staging table, Target table u_ns_training_request and Active true.</w:t>
      </w:r>
    </w:p>
    <w:p>
      <w:pPr>
        <w:ind w:left="274" w:hanging="274"/>
      </w:pPr>
      <w:r>
        <w:t>4. Keep Run business rules selected for this controlled lab after reviewing the target's rules. Set Enforce mandatory fields to All Fields and Copy empty fields false. Leave scripts empty.</w:t>
      </w:r>
    </w:p>
    <w:p>
      <w:pPr>
        <w:ind w:left="274" w:hanging="274"/>
      </w:pPr>
      <w:r>
        <w:t>5. Create these explicit field maps using the actual generated source column names.</w:t>
      </w:r>
    </w:p>
    <w:tbl>
      <w:tblPr>
        <w:tblStyle w:val="TableGrid"/>
        <w:tblW w:type="auto" w:w="0"/>
        <w:tblLayout w:type="autofit"/>
        <w:tblLook w:firstColumn="1" w:firstRow="1" w:lastColumn="0" w:lastRow="0" w:noHBand="0" w:noVBand="1" w:val="04A0"/>
      </w:tblPr>
      <w:tblGrid>
        <w:gridCol w:w="3298"/>
        <w:gridCol w:w="3298"/>
        <w:gridCol w:w="3298"/>
      </w:tblGrid>
      <w:tr>
        <w:trPr>
          <w:cantSplit/>
          <w:tblHeader/>
        </w:trPr>
        <w:tc>
          <w:tcPr>
            <w:tcW w:type="dxa" w:w="3298"/>
            <w:shd w:fill="E4EEF0"/>
          </w:tcPr>
          <w:p>
            <w:pPr>
              <w:spacing w:after="60" w:before="60"/>
            </w:pPr>
            <w:r>
              <w:rPr>
                <w:b/>
                <w:sz w:val="18"/>
              </w:rPr>
              <w:t>Source header</w:t>
            </w:r>
          </w:p>
        </w:tc>
        <w:tc>
          <w:tcPr>
            <w:tcW w:type="dxa" w:w="3298"/>
            <w:shd w:fill="E4EEF0"/>
          </w:tcPr>
          <w:p>
            <w:pPr>
              <w:spacing w:after="60" w:before="60"/>
            </w:pPr>
            <w:r>
              <w:rPr>
                <w:b/>
                <w:sz w:val="18"/>
              </w:rPr>
              <w:t>Target element</w:t>
            </w:r>
          </w:p>
        </w:tc>
        <w:tc>
          <w:tcPr>
            <w:tcW w:type="dxa" w:w="3298"/>
            <w:shd w:fill="E4EEF0"/>
          </w:tcPr>
          <w:p>
            <w:pPr>
              <w:spacing w:after="60" w:before="60"/>
            </w:pPr>
            <w:r>
              <w:rPr>
                <w:b/>
                <w:sz w:val="18"/>
              </w:rPr>
              <w:t>Additional setting</w:t>
            </w:r>
          </w:p>
        </w:tc>
      </w:tr>
      <w:tr>
        <w:trPr>
          <w:cantSplit/>
        </w:trPr>
        <w:tc>
          <w:tcPr>
            <w:tcW w:type="dxa" w:w="3298"/>
          </w:tcPr>
          <w:p>
            <w:pPr>
              <w:spacing w:after="60" w:before="60"/>
            </w:pPr>
            <w:r>
              <w:rPr>
                <w:sz w:val="18"/>
              </w:rPr>
              <w:t>External Request ID</w:t>
            </w:r>
          </w:p>
        </w:tc>
        <w:tc>
          <w:tcPr>
            <w:tcW w:type="dxa" w:w="3298"/>
          </w:tcPr>
          <w:p>
            <w:pPr>
              <w:spacing w:after="60" w:before="60"/>
            </w:pPr>
            <w:r>
              <w:rPr>
                <w:sz w:val="18"/>
              </w:rPr>
              <w:t>u_external_request_id</w:t>
            </w:r>
          </w:p>
        </w:tc>
        <w:tc>
          <w:tcPr>
            <w:tcW w:type="dxa" w:w="3298"/>
          </w:tcPr>
          <w:p>
            <w:pPr>
              <w:spacing w:after="60" w:before="60"/>
            </w:pPr>
            <w:r>
              <w:rPr>
                <w:sz w:val="18"/>
              </w:rPr>
              <w:t>Coalesce true</w:t>
            </w:r>
          </w:p>
        </w:tc>
      </w:tr>
      <w:tr>
        <w:trPr>
          <w:cantSplit/>
        </w:trPr>
        <w:tc>
          <w:tcPr>
            <w:tcW w:type="dxa" w:w="3298"/>
          </w:tcPr>
          <w:p>
            <w:pPr>
              <w:spacing w:after="60" w:before="60"/>
            </w:pPr>
            <w:r>
              <w:rPr>
                <w:sz w:val="18"/>
              </w:rPr>
              <w:t>Course</w:t>
            </w:r>
          </w:p>
        </w:tc>
        <w:tc>
          <w:tcPr>
            <w:tcW w:type="dxa" w:w="3298"/>
          </w:tcPr>
          <w:p>
            <w:pPr>
              <w:spacing w:after="60" w:before="60"/>
            </w:pPr>
            <w:r>
              <w:rPr>
                <w:sz w:val="18"/>
              </w:rPr>
              <w:t>u_course_name</w:t>
            </w:r>
          </w:p>
        </w:tc>
        <w:tc>
          <w:tcPr>
            <w:tcW w:type="dxa" w:w="3298"/>
          </w:tcPr>
          <w:p>
            <w:pPr>
              <w:spacing w:after="60" w:before="60"/>
            </w:pPr>
            <w:r>
              <w:rPr>
                <w:sz w:val="18"/>
              </w:rPr>
              <w:t>Direct mapping</w:t>
            </w:r>
          </w:p>
        </w:tc>
      </w:tr>
      <w:tr>
        <w:trPr>
          <w:cantSplit/>
        </w:trPr>
        <w:tc>
          <w:tcPr>
            <w:tcW w:type="dxa" w:w="3298"/>
          </w:tcPr>
          <w:p>
            <w:pPr>
              <w:spacing w:after="60" w:before="60"/>
            </w:pPr>
            <w:r>
              <w:rPr>
                <w:sz w:val="18"/>
              </w:rPr>
              <w:t>Employee Email</w:t>
            </w:r>
          </w:p>
        </w:tc>
        <w:tc>
          <w:tcPr>
            <w:tcW w:type="dxa" w:w="3298"/>
          </w:tcPr>
          <w:p>
            <w:pPr>
              <w:spacing w:after="60" w:before="60"/>
            </w:pPr>
            <w:r>
              <w:rPr>
                <w:sz w:val="18"/>
              </w:rPr>
              <w:t>u_requested_for</w:t>
            </w:r>
          </w:p>
        </w:tc>
        <w:tc>
          <w:tcPr>
            <w:tcW w:type="dxa" w:w="3298"/>
          </w:tcPr>
          <w:p>
            <w:pPr>
              <w:spacing w:after="60" w:before="60"/>
            </w:pPr>
            <w:r>
              <w:rPr>
                <w:sz w:val="18"/>
              </w:rPr>
              <w:t>Referenced value field email and reject unmatched</w:t>
            </w:r>
          </w:p>
        </w:tc>
      </w:tr>
      <w:tr>
        <w:trPr>
          <w:cantSplit/>
        </w:trPr>
        <w:tc>
          <w:tcPr>
            <w:tcW w:type="dxa" w:w="3298"/>
          </w:tcPr>
          <w:p>
            <w:pPr>
              <w:spacing w:after="60" w:before="60"/>
            </w:pPr>
            <w:r>
              <w:rPr>
                <w:sz w:val="18"/>
              </w:rPr>
              <w:t>Justification</w:t>
            </w:r>
          </w:p>
        </w:tc>
        <w:tc>
          <w:tcPr>
            <w:tcW w:type="dxa" w:w="3298"/>
          </w:tcPr>
          <w:p>
            <w:pPr>
              <w:spacing w:after="60" w:before="60"/>
            </w:pPr>
            <w:r>
              <w:rPr>
                <w:sz w:val="18"/>
              </w:rPr>
              <w:t>u_business_justification</w:t>
            </w:r>
          </w:p>
        </w:tc>
        <w:tc>
          <w:tcPr>
            <w:tcW w:type="dxa" w:w="3298"/>
          </w:tcPr>
          <w:p>
            <w:pPr>
              <w:spacing w:after="60" w:before="60"/>
            </w:pPr>
            <w:r>
              <w:rPr>
                <w:sz w:val="18"/>
              </w:rPr>
              <w:t>Direct mapping</w:t>
            </w:r>
          </w:p>
        </w:tc>
      </w:tr>
      <w:tr>
        <w:trPr>
          <w:cantSplit/>
        </w:trPr>
        <w:tc>
          <w:tcPr>
            <w:tcW w:type="dxa" w:w="3298"/>
          </w:tcPr>
          <w:p>
            <w:pPr>
              <w:spacing w:after="60" w:before="60"/>
            </w:pPr>
            <w:r>
              <w:rPr>
                <w:sz w:val="18"/>
              </w:rPr>
              <w:t>Preferred Date</w:t>
            </w:r>
          </w:p>
        </w:tc>
        <w:tc>
          <w:tcPr>
            <w:tcW w:type="dxa" w:w="3298"/>
          </w:tcPr>
          <w:p>
            <w:pPr>
              <w:spacing w:after="60" w:before="60"/>
            </w:pPr>
            <w:r>
              <w:rPr>
                <w:sz w:val="18"/>
              </w:rPr>
              <w:t>u_preferred_date</w:t>
            </w:r>
          </w:p>
        </w:tc>
        <w:tc>
          <w:tcPr>
            <w:tcW w:type="dxa" w:w="3298"/>
          </w:tcPr>
          <w:p>
            <w:pPr>
              <w:spacing w:after="60" w:before="60"/>
            </w:pPr>
            <w:r>
              <w:rPr>
                <w:sz w:val="18"/>
              </w:rPr>
              <w:t>Date format yyyy-MM-dd</w:t>
            </w:r>
          </w:p>
        </w:tc>
      </w:tr>
      <w:tr>
        <w:trPr>
          <w:cantSplit/>
        </w:trPr>
        <w:tc>
          <w:tcPr>
            <w:tcW w:type="dxa" w:w="3298"/>
          </w:tcPr>
          <w:p>
            <w:pPr>
              <w:spacing w:after="60" w:before="60"/>
            </w:pPr>
            <w:r>
              <w:rPr>
                <w:sz w:val="18"/>
              </w:rPr>
              <w:t>Delivery Mode</w:t>
            </w:r>
          </w:p>
        </w:tc>
        <w:tc>
          <w:tcPr>
            <w:tcW w:type="dxa" w:w="3298"/>
          </w:tcPr>
          <w:p>
            <w:pPr>
              <w:spacing w:after="60" w:before="60"/>
            </w:pPr>
            <w:r>
              <w:rPr>
                <w:sz w:val="18"/>
              </w:rPr>
              <w:t>u_delivery_mode</w:t>
            </w:r>
          </w:p>
        </w:tc>
        <w:tc>
          <w:tcPr>
            <w:tcW w:type="dxa" w:w="3298"/>
          </w:tcPr>
          <w:p>
            <w:pPr>
              <w:spacing w:after="60" w:before="60"/>
            </w:pPr>
            <w:r>
              <w:rPr>
                <w:sz w:val="18"/>
              </w:rPr>
              <w:t>Existing stored choices</w:t>
            </w:r>
          </w:p>
        </w:tc>
      </w:tr>
      <w:tr>
        <w:trPr>
          <w:cantSplit/>
        </w:trPr>
        <w:tc>
          <w:tcPr>
            <w:tcW w:type="dxa" w:w="3298"/>
          </w:tcPr>
          <w:p>
            <w:pPr>
              <w:spacing w:after="60" w:before="60"/>
            </w:pPr>
            <w:r>
              <w:rPr>
                <w:sz w:val="18"/>
              </w:rPr>
              <w:t>Estimated Cost PLN</w:t>
            </w:r>
          </w:p>
        </w:tc>
        <w:tc>
          <w:tcPr>
            <w:tcW w:type="dxa" w:w="3298"/>
          </w:tcPr>
          <w:p>
            <w:pPr>
              <w:spacing w:after="60" w:before="60"/>
            </w:pPr>
            <w:r>
              <w:rPr>
                <w:sz w:val="18"/>
              </w:rPr>
              <w:t>u_estimated_cost_pln</w:t>
            </w:r>
          </w:p>
        </w:tc>
        <w:tc>
          <w:tcPr>
            <w:tcW w:type="dxa" w:w="3298"/>
          </w:tcPr>
          <w:p>
            <w:pPr>
              <w:spacing w:after="60" w:before="60"/>
            </w:pPr>
            <w:r>
              <w:rPr>
                <w:sz w:val="18"/>
              </w:rPr>
              <w:t>Decimal</w:t>
            </w:r>
          </w:p>
        </w:tc>
      </w:tr>
      <w:tr>
        <w:trPr>
          <w:cantSplit/>
        </w:trPr>
        <w:tc>
          <w:tcPr>
            <w:tcW w:type="dxa" w:w="3298"/>
          </w:tcPr>
          <w:p>
            <w:pPr>
              <w:spacing w:after="60" w:before="60"/>
            </w:pPr>
            <w:r>
              <w:rPr>
                <w:sz w:val="18"/>
              </w:rPr>
              <w:t>Status</w:t>
            </w:r>
          </w:p>
        </w:tc>
        <w:tc>
          <w:tcPr>
            <w:tcW w:type="dxa" w:w="3298"/>
          </w:tcPr>
          <w:p>
            <w:pPr>
              <w:spacing w:after="60" w:before="60"/>
            </w:pPr>
            <w:r>
              <w:rPr>
                <w:sz w:val="18"/>
              </w:rPr>
              <w:t>u_status</w:t>
            </w:r>
          </w:p>
        </w:tc>
        <w:tc>
          <w:tcPr>
            <w:tcW w:type="dxa" w:w="3298"/>
          </w:tcPr>
          <w:p>
            <w:pPr>
              <w:spacing w:after="60" w:before="60"/>
            </w:pPr>
            <w:r>
              <w:rPr>
                <w:sz w:val="18"/>
              </w:rPr>
              <w:t>Existing stored choices</w:t>
            </w:r>
          </w:p>
        </w:tc>
      </w:tr>
      <w:tr>
        <w:trPr>
          <w:cantSplit/>
        </w:trPr>
        <w:tc>
          <w:tcPr>
            <w:tcW w:type="dxa" w:w="3298"/>
          </w:tcPr>
          <w:p>
            <w:pPr>
              <w:spacing w:after="60" w:before="60"/>
            </w:pPr>
            <w:r>
              <w:rPr>
                <w:sz w:val="18"/>
              </w:rPr>
              <w:t>Provider</w:t>
            </w:r>
          </w:p>
        </w:tc>
        <w:tc>
          <w:tcPr>
            <w:tcW w:type="dxa" w:w="3298"/>
          </w:tcPr>
          <w:p>
            <w:pPr>
              <w:spacing w:after="60" w:before="60"/>
            </w:pPr>
            <w:r>
              <w:rPr>
                <w:sz w:val="18"/>
              </w:rPr>
              <w:t>u_training_provider</w:t>
            </w:r>
          </w:p>
        </w:tc>
        <w:tc>
          <w:tcPr>
            <w:tcW w:type="dxa" w:w="3298"/>
          </w:tcPr>
          <w:p>
            <w:pPr>
              <w:spacing w:after="60" w:before="60"/>
            </w:pPr>
            <w:r>
              <w:rPr>
                <w:sz w:val="18"/>
              </w:rPr>
              <w:t>Do not clear with blank source</w:t>
            </w:r>
          </w:p>
        </w:tc>
      </w:tr>
    </w:tbl>
    <w:p>
      <w:pPr>
        <w:spacing w:after="0"/>
      </w:pPr>
    </w:p>
    <w:p>
      <w:pPr>
        <w:ind w:left="274" w:hanging="274"/>
      </w:pPr>
      <w:r>
        <w:t>6. For the user reference field map, set Choice action to reject where offered so an unknown email does not create a user. Validate choices before transformation and use reject for invalid choices where supported.</w:t>
      </w:r>
    </w:p>
    <w:p>
      <w:pPr>
        <w:ind w:left="274" w:hanging="274"/>
      </w:pPr>
      <w:r>
        <w:t>7. Leave Create new record on empty coalesce fields and field-level Coalesce empty fields clear where shown. Still validate every source key before loading.</w:t>
      </w:r>
    </w:p>
    <w:p>
      <w:pPr>
        <w:ind w:left="274" w:hanging="274"/>
      </w:pPr>
      <w:r>
        <w:t>8. Review reference and coalesce diagnostic related lists if shown: missing reference values and unused empty coalesce fields indicate issues to investigate. An unindexed reference warning is a performance review prompt; do not create arbitrary indexes without review.</w:t>
      </w:r>
    </w:p>
    <w:p>
      <w:r>
        <w:t>Only External Request ID is the coalesce key. Adding several coalesce fields changes the match to a combination of values.</w:t>
      </w:r>
    </w:p>
    <w:p>
      <w:r>
        <w:br w:type="page"/>
      </w:r>
    </w:p>
    <w:p>
      <w:pPr>
        <w:pStyle w:val="Heading1"/>
      </w:pPr>
      <w:r>
        <w:t>Run the insert update and error tests</w:t>
      </w:r>
    </w:p>
    <w:p>
      <w:pPr>
        <w:pStyle w:val="Heading2"/>
      </w:pPr>
      <w:r>
        <w:t>Initial and update batches</w:t>
      </w:r>
    </w:p>
    <w:p>
      <w:pPr>
        <w:ind w:left="274" w:hanging="274"/>
      </w:pPr>
      <w:r>
        <w:t>1. Transform the initial import set using this map only. Open Transform History and row results. On a clean key population, expect three inserts and zero updates.</w:t>
      </w:r>
    </w:p>
    <w:p>
      <w:pPr>
        <w:ind w:left="274" w:hanging="274"/>
      </w:pPr>
      <w:r>
        <w:t>2. Record the target sys_id for EXT-TR-002 and its Provider.</w:t>
      </w:r>
    </w:p>
    <w:p>
      <w:pPr>
        <w:ind w:left="274" w:hanging="274"/>
      </w:pPr>
      <w:r>
        <w:t>3. Load the updates workbook as a new import set into the same staging table. Use the same transform map. Expect one update for 002 and one insert for 004.</w:t>
      </w:r>
    </w:p>
    <w:p>
      <w:pPr>
        <w:ind w:left="274" w:hanging="274"/>
      </w:pPr>
      <w:r>
        <w:t>4. Filter the target to the four external IDs. Expect four records total, with 002 Provider Northstar Learning and the same sys_id as before.</w:t>
      </w:r>
    </w:p>
    <w:p>
      <w:pPr>
        <w:ind w:left="274" w:hanging="274"/>
      </w:pPr>
      <w:r>
        <w:t>5. Load the updates workbook again as a new batch and transform. Expect two updates and no new records in this population.</w:t>
      </w:r>
    </w:p>
    <w:tbl>
      <w:tblPr>
        <w:tblStyle w:val="TableGrid"/>
        <w:tblW w:type="auto" w:w="0"/>
        <w:tblLayout w:type="autofit"/>
        <w:tblLook w:firstColumn="1" w:firstRow="1" w:lastColumn="0" w:lastRow="0" w:noHBand="0" w:noVBand="1" w:val="04A0"/>
      </w:tblPr>
      <w:tblGrid>
        <w:gridCol w:w="2473"/>
        <w:gridCol w:w="2473"/>
        <w:gridCol w:w="2473"/>
        <w:gridCol w:w="2473"/>
      </w:tblGrid>
      <w:tr>
        <w:trPr>
          <w:cantSplit/>
          <w:tblHeader/>
        </w:trPr>
        <w:tc>
          <w:tcPr>
            <w:tcW w:type="dxa" w:w="2473"/>
            <w:shd w:fill="E4EEF0"/>
          </w:tcPr>
          <w:p>
            <w:pPr>
              <w:spacing w:after="60" w:before="60"/>
            </w:pPr>
            <w:r>
              <w:rPr>
                <w:b/>
                <w:sz w:val="18"/>
              </w:rPr>
              <w:t>Run</w:t>
            </w:r>
          </w:p>
        </w:tc>
        <w:tc>
          <w:tcPr>
            <w:tcW w:type="dxa" w:w="2473"/>
            <w:shd w:fill="E4EEF0"/>
          </w:tcPr>
          <w:p>
            <w:pPr>
              <w:spacing w:after="60" w:before="60"/>
            </w:pPr>
            <w:r>
              <w:rPr>
                <w:b/>
                <w:sz w:val="18"/>
              </w:rPr>
              <w:t>Expected inserts</w:t>
            </w:r>
          </w:p>
        </w:tc>
        <w:tc>
          <w:tcPr>
            <w:tcW w:type="dxa" w:w="2473"/>
            <w:shd w:fill="E4EEF0"/>
          </w:tcPr>
          <w:p>
            <w:pPr>
              <w:spacing w:after="60" w:before="60"/>
            </w:pPr>
            <w:r>
              <w:rPr>
                <w:b/>
                <w:sz w:val="18"/>
              </w:rPr>
              <w:t>Expected updates</w:t>
            </w:r>
          </w:p>
        </w:tc>
        <w:tc>
          <w:tcPr>
            <w:tcW w:type="dxa" w:w="2473"/>
            <w:shd w:fill="E4EEF0"/>
          </w:tcPr>
          <w:p>
            <w:pPr>
              <w:spacing w:after="60" w:before="60"/>
            </w:pPr>
            <w:r>
              <w:rPr>
                <w:b/>
                <w:sz w:val="18"/>
              </w:rPr>
              <w:t>Target population</w:t>
            </w:r>
          </w:p>
        </w:tc>
      </w:tr>
      <w:tr>
        <w:trPr>
          <w:cantSplit/>
        </w:trPr>
        <w:tc>
          <w:tcPr>
            <w:tcW w:type="dxa" w:w="2473"/>
          </w:tcPr>
          <w:p>
            <w:pPr>
              <w:spacing w:after="60" w:before="60"/>
            </w:pPr>
            <w:r>
              <w:rPr>
                <w:sz w:val="18"/>
              </w:rPr>
              <w:t>Initial clean keys</w:t>
            </w:r>
          </w:p>
        </w:tc>
        <w:tc>
          <w:tcPr>
            <w:tcW w:type="dxa" w:w="2473"/>
          </w:tcPr>
          <w:p>
            <w:pPr>
              <w:spacing w:after="60" w:before="60"/>
            </w:pPr>
            <w:r>
              <w:rPr>
                <w:sz w:val="18"/>
              </w:rPr>
              <w:t>3</w:t>
            </w:r>
          </w:p>
        </w:tc>
        <w:tc>
          <w:tcPr>
            <w:tcW w:type="dxa" w:w="2473"/>
          </w:tcPr>
          <w:p>
            <w:pPr>
              <w:spacing w:after="60" w:before="60"/>
            </w:pPr>
            <w:r>
              <w:rPr>
                <w:sz w:val="18"/>
              </w:rPr>
              <w:t>0</w:t>
            </w:r>
          </w:p>
        </w:tc>
        <w:tc>
          <w:tcPr>
            <w:tcW w:type="dxa" w:w="2473"/>
          </w:tcPr>
          <w:p>
            <w:pPr>
              <w:spacing w:after="60" w:before="60"/>
            </w:pPr>
            <w:r>
              <w:rPr>
                <w:sz w:val="18"/>
              </w:rPr>
              <w:t>3</w:t>
            </w:r>
          </w:p>
        </w:tc>
      </w:tr>
      <w:tr>
        <w:trPr>
          <w:cantSplit/>
        </w:trPr>
        <w:tc>
          <w:tcPr>
            <w:tcW w:type="dxa" w:w="2473"/>
          </w:tcPr>
          <w:p>
            <w:pPr>
              <w:spacing w:after="60" w:before="60"/>
            </w:pPr>
            <w:r>
              <w:rPr>
                <w:sz w:val="18"/>
              </w:rPr>
              <w:t>Updates batch</w:t>
            </w:r>
          </w:p>
        </w:tc>
        <w:tc>
          <w:tcPr>
            <w:tcW w:type="dxa" w:w="2473"/>
          </w:tcPr>
          <w:p>
            <w:pPr>
              <w:spacing w:after="60" w:before="60"/>
            </w:pPr>
            <w:r>
              <w:rPr>
                <w:sz w:val="18"/>
              </w:rPr>
              <w:t>1</w:t>
            </w:r>
          </w:p>
        </w:tc>
        <w:tc>
          <w:tcPr>
            <w:tcW w:type="dxa" w:w="2473"/>
          </w:tcPr>
          <w:p>
            <w:pPr>
              <w:spacing w:after="60" w:before="60"/>
            </w:pPr>
            <w:r>
              <w:rPr>
                <w:sz w:val="18"/>
              </w:rPr>
              <w:t>1</w:t>
            </w:r>
          </w:p>
        </w:tc>
        <w:tc>
          <w:tcPr>
            <w:tcW w:type="dxa" w:w="2473"/>
          </w:tcPr>
          <w:p>
            <w:pPr>
              <w:spacing w:after="60" w:before="60"/>
            </w:pPr>
            <w:r>
              <w:rPr>
                <w:sz w:val="18"/>
              </w:rPr>
              <w:t>4</w:t>
            </w:r>
          </w:p>
        </w:tc>
      </w:tr>
      <w:tr>
        <w:trPr>
          <w:cantSplit/>
        </w:trPr>
        <w:tc>
          <w:tcPr>
            <w:tcW w:type="dxa" w:w="2473"/>
          </w:tcPr>
          <w:p>
            <w:pPr>
              <w:spacing w:after="60" w:before="60"/>
            </w:pPr>
            <w:r>
              <w:rPr>
                <w:sz w:val="18"/>
              </w:rPr>
              <w:t>Repeat updates batch</w:t>
            </w:r>
          </w:p>
        </w:tc>
        <w:tc>
          <w:tcPr>
            <w:tcW w:type="dxa" w:w="2473"/>
          </w:tcPr>
          <w:p>
            <w:pPr>
              <w:spacing w:after="60" w:before="60"/>
            </w:pPr>
            <w:r>
              <w:rPr>
                <w:sz w:val="18"/>
              </w:rPr>
              <w:t>0</w:t>
            </w:r>
          </w:p>
        </w:tc>
        <w:tc>
          <w:tcPr>
            <w:tcW w:type="dxa" w:w="2473"/>
          </w:tcPr>
          <w:p>
            <w:pPr>
              <w:spacing w:after="60" w:before="60"/>
            </w:pPr>
            <w:r>
              <w:rPr>
                <w:sz w:val="18"/>
              </w:rPr>
              <w:t>2</w:t>
            </w:r>
          </w:p>
        </w:tc>
        <w:tc>
          <w:tcPr>
            <w:tcW w:type="dxa" w:w="2473"/>
          </w:tcPr>
          <w:p>
            <w:pPr>
              <w:spacing w:after="60" w:before="60"/>
            </w:pPr>
            <w:r>
              <w:rPr>
                <w:sz w:val="18"/>
              </w:rPr>
              <w:t>4</w:t>
            </w:r>
          </w:p>
        </w:tc>
      </w:tr>
    </w:tbl>
    <w:p>
      <w:pPr>
        <w:spacing w:after="0"/>
      </w:pPr>
    </w:p>
    <w:p>
      <w:pPr>
        <w:pStyle w:val="Heading2"/>
      </w:pPr>
      <w:r>
        <w:t>Invalid reference</w:t>
      </w:r>
    </w:p>
    <w:p>
      <w:pPr>
        <w:ind w:left="274" w:hanging="274"/>
      </w:pPr>
      <w:r>
        <w:t>6. Make a separate one-row test file with new key EXT-TR-ERR and unknown email missing.person@example.com. Keep the other required values valid.</w:t>
      </w:r>
    </w:p>
    <w:p>
      <w:pPr>
        <w:ind w:left="274" w:hanging="274"/>
      </w:pPr>
      <w:r>
        <w:t>7. Load and transform it. Inspect the failed or rejected row and useful error. Verify that no user with that email and no target with that key were created.</w:t>
      </w:r>
    </w:p>
    <w:p>
      <w:pPr>
        <w:ind w:left="274" w:hanging="274"/>
      </w:pPr>
      <w:r>
        <w:t>8. Correct the email to ravi@example.com and reload as a new batch if practicing recovery. Record that this adds a fifth test key outside the four-key baseline.</w:t>
      </w:r>
    </w:p>
    <w:p>
      <w:pPr>
        <w:ind w:left="274" w:hanging="274"/>
      </w:pPr>
      <w:r>
        <w:t>9. If a transform fails, inspect the source value, field map, mandatory enforcement and target rules. Do not disable validation merely to obtain a successful count.</w:t>
      </w:r>
    </w:p>
    <w:p>
      <w:pPr>
        <w:pStyle w:val="Heading2"/>
      </w:pPr>
      <w:r>
        <w:t>Results worksheet</w:t>
      </w:r>
    </w:p>
    <w:p>
      <w:r>
        <w:t>Initial run: __________ Update run: __________ Repeat run: __________</w:t>
      </w:r>
    </w:p>
    <w:p>
      <w:r>
        <w:t>002 sys_id before: __________________ After: __________________</w:t>
      </w:r>
    </w:p>
    <w:p>
      <w:r>
        <w:t>Unknown-user error and correction: ___________________________________</w:t>
      </w:r>
    </w:p>
    <w:p>
      <w:r>
        <w:t>The target row identity is stronger evidence of an update than simply observing a changed display value.</w:t>
      </w:r>
    </w:p>
    <w:p>
      <w:r>
        <w:br w:type="page"/>
      </w:r>
    </w:p>
    <w:p>
      <w:pPr>
        <w:pStyle w:val="Heading1"/>
      </w:pPr>
      <w:r>
        <w:t>Compare other import methods and list Data Management</w:t>
      </w:r>
    </w:p>
    <w:p>
      <w:pPr>
        <w:pStyle w:val="Heading2"/>
      </w:pPr>
      <w:r>
        <w:t>Inspect the available methods</w:t>
      </w:r>
    </w:p>
    <w:tbl>
      <w:tblPr>
        <w:tblStyle w:val="TableGrid"/>
        <w:tblW w:type="auto" w:w="0"/>
        <w:tblLayout w:type="autofit"/>
        <w:tblLook w:firstColumn="1" w:firstRow="1" w:lastColumn="0" w:lastRow="0" w:noHBand="0" w:noVBand="1" w:val="04A0"/>
      </w:tblPr>
      <w:tblGrid>
        <w:gridCol w:w="4946"/>
        <w:gridCol w:w="4946"/>
      </w:tblGrid>
      <w:tr>
        <w:trPr>
          <w:cantSplit/>
          <w:tblHeader/>
        </w:trPr>
        <w:tc>
          <w:tcPr>
            <w:tcW w:type="dxa" w:w="4946"/>
            <w:shd w:fill="E4EEF0"/>
          </w:tcPr>
          <w:p>
            <w:pPr>
              <w:spacing w:after="60" w:before="60"/>
            </w:pPr>
            <w:r>
              <w:rPr>
                <w:b/>
                <w:sz w:val="18"/>
              </w:rPr>
              <w:t>Method</w:t>
            </w:r>
          </w:p>
        </w:tc>
        <w:tc>
          <w:tcPr>
            <w:tcW w:type="dxa" w:w="4946"/>
            <w:shd w:fill="E4EEF0"/>
          </w:tcPr>
          <w:p>
            <w:pPr>
              <w:spacing w:after="60" w:before="60"/>
            </w:pPr>
            <w:r>
              <w:rPr>
                <w:b/>
                <w:sz w:val="18"/>
              </w:rPr>
              <w:t>Use in context</w:t>
            </w:r>
          </w:p>
        </w:tc>
      </w:tr>
      <w:tr>
        <w:trPr>
          <w:cantSplit/>
        </w:trPr>
        <w:tc>
          <w:tcPr>
            <w:tcW w:type="dxa" w:w="4946"/>
          </w:tcPr>
          <w:p>
            <w:pPr>
              <w:spacing w:after="60" w:before="60"/>
            </w:pPr>
            <w:r>
              <w:rPr>
                <w:sz w:val="18"/>
              </w:rPr>
              <w:t>Easy Import from a list</w:t>
            </w:r>
          </w:p>
        </w:tc>
        <w:tc>
          <w:tcPr>
            <w:tcW w:type="dxa" w:w="4946"/>
          </w:tcPr>
          <w:p>
            <w:pPr>
              <w:spacing w:after="60" w:before="60"/>
            </w:pPr>
            <w:r>
              <w:rPr>
                <w:sz w:val="18"/>
              </w:rPr>
              <w:t>Template-based import for a supported table</w:t>
            </w:r>
          </w:p>
        </w:tc>
      </w:tr>
      <w:tr>
        <w:trPr>
          <w:cantSplit/>
        </w:trPr>
        <w:tc>
          <w:tcPr>
            <w:tcW w:type="dxa" w:w="4946"/>
          </w:tcPr>
          <w:p>
            <w:pPr>
              <w:spacing w:after="60" w:before="60"/>
            </w:pPr>
            <w:r>
              <w:rPr>
                <w:sz w:val="18"/>
              </w:rPr>
              <w:t>Import sets and transform maps</w:t>
            </w:r>
          </w:p>
        </w:tc>
        <w:tc>
          <w:tcPr>
            <w:tcW w:type="dxa" w:w="4946"/>
          </w:tcPr>
          <w:p>
            <w:pPr>
              <w:spacing w:after="60" w:before="60"/>
            </w:pPr>
            <w:r>
              <w:rPr>
                <w:sz w:val="18"/>
              </w:rPr>
              <w:t>Staging mapping and repeatable matching</w:t>
            </w:r>
          </w:p>
        </w:tc>
      </w:tr>
      <w:tr>
        <w:trPr>
          <w:cantSplit/>
        </w:trPr>
        <w:tc>
          <w:tcPr>
            <w:tcW w:type="dxa" w:w="4946"/>
          </w:tcPr>
          <w:p>
            <w:pPr>
              <w:spacing w:after="60" w:before="60"/>
            </w:pPr>
            <w:r>
              <w:rPr>
                <w:sz w:val="18"/>
              </w:rPr>
              <w:t>Scheduled data import</w:t>
            </w:r>
          </w:p>
        </w:tc>
        <w:tc>
          <w:tcPr>
            <w:tcW w:type="dxa" w:w="4946"/>
          </w:tcPr>
          <w:p>
            <w:pPr>
              <w:spacing w:after="60" w:before="60"/>
            </w:pPr>
            <w:r>
              <w:rPr>
                <w:sz w:val="18"/>
              </w:rPr>
              <w:t>Recurring supported data source</w:t>
            </w:r>
          </w:p>
        </w:tc>
      </w:tr>
      <w:tr>
        <w:trPr>
          <w:cantSplit/>
        </w:trPr>
        <w:tc>
          <w:tcPr>
            <w:tcW w:type="dxa" w:w="4946"/>
          </w:tcPr>
          <w:p>
            <w:pPr>
              <w:spacing w:after="60" w:before="60"/>
            </w:pPr>
            <w:r>
              <w:rPr>
                <w:sz w:val="18"/>
              </w:rPr>
              <w:t>Import Set API</w:t>
            </w:r>
          </w:p>
        </w:tc>
        <w:tc>
          <w:tcPr>
            <w:tcW w:type="dxa" w:w="4946"/>
          </w:tcPr>
          <w:p>
            <w:pPr>
              <w:spacing w:after="60" w:before="60"/>
            </w:pPr>
            <w:r>
              <w:rPr>
                <w:sz w:val="18"/>
              </w:rPr>
              <w:t>External system sends rows through staging</w:t>
            </w:r>
          </w:p>
        </w:tc>
      </w:tr>
      <w:tr>
        <w:trPr>
          <w:cantSplit/>
        </w:trPr>
        <w:tc>
          <w:tcPr>
            <w:tcW w:type="dxa" w:w="4946"/>
          </w:tcPr>
          <w:p>
            <w:pPr>
              <w:spacing w:after="60" w:before="60"/>
            </w:pPr>
            <w:r>
              <w:rPr>
                <w:sz w:val="18"/>
              </w:rPr>
              <w:t>Table API</w:t>
            </w:r>
          </w:p>
        </w:tc>
        <w:tc>
          <w:tcPr>
            <w:tcW w:type="dxa" w:w="4946"/>
          </w:tcPr>
          <w:p>
            <w:pPr>
              <w:spacing w:after="60" w:before="60"/>
            </w:pPr>
            <w:r>
              <w:rPr>
                <w:sz w:val="18"/>
              </w:rPr>
              <w:t>Authorized direct record operations</w:t>
            </w:r>
          </w:p>
        </w:tc>
      </w:tr>
      <w:tr>
        <w:trPr>
          <w:cantSplit/>
        </w:trPr>
        <w:tc>
          <w:tcPr>
            <w:tcW w:type="dxa" w:w="4946"/>
          </w:tcPr>
          <w:p>
            <w:pPr>
              <w:spacing w:after="60" w:before="60"/>
            </w:pPr>
            <w:r>
              <w:rPr>
                <w:sz w:val="18"/>
              </w:rPr>
              <w:t>Record XML import</w:t>
            </w:r>
          </w:p>
        </w:tc>
        <w:tc>
          <w:tcPr>
            <w:tcW w:type="dxa" w:w="4946"/>
          </w:tcPr>
          <w:p>
            <w:pPr>
              <w:spacing w:after="60" w:before="60"/>
            </w:pPr>
            <w:r>
              <w:rPr>
                <w:sz w:val="18"/>
              </w:rPr>
              <w:t>Compatible record transfer without this transform map</w:t>
            </w:r>
          </w:p>
        </w:tc>
      </w:tr>
      <w:tr>
        <w:trPr>
          <w:cantSplit/>
        </w:trPr>
        <w:tc>
          <w:tcPr>
            <w:tcW w:type="dxa" w:w="4946"/>
          </w:tcPr>
          <w:p>
            <w:pPr>
              <w:spacing w:after="60" w:before="60"/>
            </w:pPr>
            <w:r>
              <w:rPr>
                <w:sz w:val="18"/>
              </w:rPr>
              <w:t>JDBC LDAP or specialized ETL</w:t>
            </w:r>
          </w:p>
        </w:tc>
        <w:tc>
          <w:tcPr>
            <w:tcW w:type="dxa" w:w="4946"/>
          </w:tcPr>
          <w:p>
            <w:pPr>
              <w:spacing w:after="60" w:before="60"/>
            </w:pPr>
            <w:r>
              <w:rPr>
                <w:sz w:val="18"/>
              </w:rPr>
              <w:t>Supported database directory or ingestion scenarios</w:t>
            </w:r>
          </w:p>
        </w:tc>
      </w:tr>
    </w:tbl>
    <w:p>
      <w:pPr>
        <w:spacing w:after="0"/>
      </w:pPr>
    </w:p>
    <w:p>
      <w:pPr>
        <w:ind w:left="274" w:hanging="274"/>
      </w:pPr>
      <w:r>
        <w:t>1. Open the request list's context menu. Inspect Import or Easy Import if present. Download a template and examine its columns without inserting duplicate baseline rows.</w:t>
      </w:r>
    </w:p>
    <w:p>
      <w:pPr>
        <w:ind w:left="274" w:hanging="274"/>
      </w:pPr>
      <w:r>
        <w:t>2. Inspect Import XML. Explain that business-record XML and update-set XML serve different purposes. Do not run an API or external integration in this file-import lab.</w:t>
      </w:r>
    </w:p>
    <w:p>
      <w:pPr>
        <w:pStyle w:val="Heading2"/>
      </w:pPr>
      <w:r>
        <w:t>Controlled Data Management exercise</w:t>
      </w:r>
    </w:p>
    <w:p>
      <w:pPr>
        <w:ind w:left="274" w:hanging="274"/>
      </w:pPr>
      <w:r>
        <w:t>3. Filter the custom request list to exactly EXT-TR-001 and EXT-TR-003. Record both original Provider values.</w:t>
      </w:r>
    </w:p>
    <w:p>
      <w:pPr>
        <w:ind w:left="274" w:hanging="274"/>
      </w:pPr>
      <w:r>
        <w:t>4. If the Data Management submenu offers Update All with preview, open it. Set Provider to Northstar Learning and inspect the preview. It must contain only those two records.</w:t>
      </w:r>
    </w:p>
    <w:p>
      <w:pPr>
        <w:ind w:left="274" w:hanging="274"/>
      </w:pPr>
      <w:r>
        <w:t>5. Execute only this scoped practice job and verify both results. Record the job reference and errors if any.</w:t>
      </w:r>
    </w:p>
    <w:p>
      <w:pPr>
        <w:ind w:left="274" w:hanging="274"/>
      </w:pPr>
      <w:r>
        <w:t>6. Inspect supported rollback information. If the completed job supports rollback, run and verify it. Otherwise restore the two fictional values manually and record that rollback was unavailable.</w:t>
      </w:r>
    </w:p>
    <w:p>
      <w:pPr>
        <w:ind w:left="274" w:hanging="274"/>
      </w:pPr>
      <w:r>
        <w:t>7. Inspect Delete All with preview only to understand its scope and cascade warning, then cancel. Deletion is not required.</w:t>
      </w:r>
    </w:p>
    <w:p>
      <w:pPr>
        <w:ind w:left="274" w:hanging="274"/>
      </w:pPr>
      <w:r>
        <w:t>8. If the submenu is unavailable, mark the job section Blocked and ask the instructor about role and capability prerequisites. Do not substitute an uncontrolled bulk delete.</w:t>
      </w:r>
    </w:p>
    <w:p>
      <w:r>
        <w:t>Data Management operates on existing records. It is not the staging load or transform step.</w:t>
      </w:r>
    </w:p>
    <w:p>
      <w:pPr>
        <w:pStyle w:val="Heading2"/>
      </w:pPr>
      <w:r>
        <w:t>Save for later</w:t>
      </w:r>
    </w:p>
    <w:p>
      <w:r>
        <w:t>Keep both source workbooks, map reference, run history, row errors and target identities. Retain the four-key target baseline and clearly identify any optional error-test record.</w:t>
      </w:r>
    </w:p>
    <w:p>
      <w:r>
        <w:br w:type="page"/>
      </w:r>
    </w:p>
    <w:p>
      <w:pPr>
        <w:pStyle w:val="Heading1"/>
      </w:pPr>
      <w:r>
        <w:t>Completion checks and troubleshooting</w:t>
      </w:r>
    </w:p>
    <w:tbl>
      <w:tblPr>
        <w:tblStyle w:val="TableGrid"/>
        <w:tblW w:type="auto" w:w="0"/>
        <w:tblLayout w:type="autofit"/>
        <w:tblLook w:firstColumn="1" w:firstRow="1" w:lastColumn="0" w:lastRow="0" w:noHBand="0" w:noVBand="1" w:val="04A0"/>
      </w:tblPr>
      <w:tblGrid>
        <w:gridCol w:w="4946"/>
        <w:gridCol w:w="4946"/>
      </w:tblGrid>
      <w:tr>
        <w:trPr>
          <w:cantSplit/>
          <w:tblHeader/>
        </w:trPr>
        <w:tc>
          <w:tcPr>
            <w:tcW w:type="dxa" w:w="4946"/>
            <w:shd w:fill="E4EEF0"/>
          </w:tcPr>
          <w:p>
            <w:pPr>
              <w:spacing w:after="60" w:before="60"/>
            </w:pPr>
            <w:r>
              <w:rPr>
                <w:b/>
                <w:sz w:val="18"/>
              </w:rPr>
              <w:t>Check</w:t>
            </w:r>
          </w:p>
        </w:tc>
        <w:tc>
          <w:tcPr>
            <w:tcW w:type="dxa" w:w="4946"/>
            <w:shd w:fill="E4EEF0"/>
          </w:tcPr>
          <w:p>
            <w:pPr>
              <w:spacing w:after="60" w:before="60"/>
            </w:pPr>
            <w:r>
              <w:rPr>
                <w:b/>
                <w:sz w:val="18"/>
              </w:rPr>
              <w:t>Result and evidence</w:t>
            </w:r>
          </w:p>
        </w:tc>
      </w:tr>
      <w:tr>
        <w:trPr>
          <w:cantSplit/>
        </w:trPr>
        <w:tc>
          <w:tcPr>
            <w:tcW w:type="dxa" w:w="4946"/>
          </w:tcPr>
          <w:p>
            <w:pPr>
              <w:spacing w:after="60" w:before="60"/>
            </w:pPr>
            <w:r>
              <w:rPr>
                <w:sz w:val="18"/>
              </w:rPr>
              <w:t>Source files contain stable nonempty keys and valid choices</w:t>
            </w:r>
          </w:p>
        </w:tc>
        <w:tc>
          <w:tcPr>
            <w:tcW w:type="dxa" w:w="4946"/>
          </w:tcPr>
          <w:p>
            <w:pPr>
              <w:spacing w:after="60" w:before="60"/>
            </w:pPr>
            <w:r>
              <w:rPr>
                <w:sz w:val="18"/>
              </w:rPr>
              <w:t>__________________</w:t>
            </w:r>
          </w:p>
        </w:tc>
      </w:tr>
      <w:tr>
        <w:trPr>
          <w:cantSplit/>
        </w:trPr>
        <w:tc>
          <w:tcPr>
            <w:tcW w:type="dxa" w:w="4946"/>
          </w:tcPr>
          <w:p>
            <w:pPr>
              <w:spacing w:after="60" w:before="60"/>
            </w:pPr>
            <w:r>
              <w:rPr>
                <w:sz w:val="18"/>
              </w:rPr>
              <w:t>Staging reviewed before transform</w:t>
            </w:r>
          </w:p>
        </w:tc>
        <w:tc>
          <w:tcPr>
            <w:tcW w:type="dxa" w:w="4946"/>
          </w:tcPr>
          <w:p>
            <w:pPr>
              <w:spacing w:after="60" w:before="60"/>
            </w:pPr>
            <w:r>
              <w:rPr>
                <w:sz w:val="18"/>
              </w:rPr>
              <w:t>__________________</w:t>
            </w:r>
          </w:p>
        </w:tc>
      </w:tr>
      <w:tr>
        <w:trPr>
          <w:cantSplit/>
        </w:trPr>
        <w:tc>
          <w:tcPr>
            <w:tcW w:type="dxa" w:w="4946"/>
          </w:tcPr>
          <w:p>
            <w:pPr>
              <w:spacing w:after="60" w:before="60"/>
            </w:pPr>
            <w:r>
              <w:rPr>
                <w:sz w:val="18"/>
              </w:rPr>
              <w:t>Only External Request ID used for coalesce</w:t>
            </w:r>
          </w:p>
        </w:tc>
        <w:tc>
          <w:tcPr>
            <w:tcW w:type="dxa" w:w="4946"/>
          </w:tcPr>
          <w:p>
            <w:pPr>
              <w:spacing w:after="60" w:before="60"/>
            </w:pPr>
            <w:r>
              <w:rPr>
                <w:sz w:val="18"/>
              </w:rPr>
              <w:t>__________________</w:t>
            </w:r>
          </w:p>
        </w:tc>
      </w:tr>
      <w:tr>
        <w:trPr>
          <w:cantSplit/>
        </w:trPr>
        <w:tc>
          <w:tcPr>
            <w:tcW w:type="dxa" w:w="4946"/>
          </w:tcPr>
          <w:p>
            <w:pPr>
              <w:spacing w:after="60" w:before="60"/>
            </w:pPr>
            <w:r>
              <w:rPr>
                <w:sz w:val="18"/>
              </w:rPr>
              <w:t>Insert update and repeat counts reconciled</w:t>
            </w:r>
          </w:p>
        </w:tc>
        <w:tc>
          <w:tcPr>
            <w:tcW w:type="dxa" w:w="4946"/>
          </w:tcPr>
          <w:p>
            <w:pPr>
              <w:spacing w:after="60" w:before="60"/>
            </w:pPr>
            <w:r>
              <w:rPr>
                <w:sz w:val="18"/>
              </w:rPr>
              <w:t>__________________</w:t>
            </w:r>
          </w:p>
        </w:tc>
      </w:tr>
      <w:tr>
        <w:trPr>
          <w:cantSplit/>
        </w:trPr>
        <w:tc>
          <w:tcPr>
            <w:tcW w:type="dxa" w:w="4946"/>
          </w:tcPr>
          <w:p>
            <w:pPr>
              <w:spacing w:after="60" w:before="60"/>
            </w:pPr>
            <w:r>
              <w:rPr>
                <w:sz w:val="18"/>
              </w:rPr>
              <w:t>Unknown reference rejected without creating a user</w:t>
            </w:r>
          </w:p>
        </w:tc>
        <w:tc>
          <w:tcPr>
            <w:tcW w:type="dxa" w:w="4946"/>
          </w:tcPr>
          <w:p>
            <w:pPr>
              <w:spacing w:after="60" w:before="60"/>
            </w:pPr>
            <w:r>
              <w:rPr>
                <w:sz w:val="18"/>
              </w:rPr>
              <w:t>__________________</w:t>
            </w:r>
          </w:p>
        </w:tc>
      </w:tr>
      <w:tr>
        <w:trPr>
          <w:cantSplit/>
        </w:trPr>
        <w:tc>
          <w:tcPr>
            <w:tcW w:type="dxa" w:w="4946"/>
          </w:tcPr>
          <w:p>
            <w:pPr>
              <w:spacing w:after="60" w:before="60"/>
            </w:pPr>
            <w:r>
              <w:rPr>
                <w:sz w:val="18"/>
              </w:rPr>
              <w:t>List job scoped and restored or availability blocker recorded</w:t>
            </w:r>
          </w:p>
        </w:tc>
        <w:tc>
          <w:tcPr>
            <w:tcW w:type="dxa" w:w="4946"/>
          </w:tcPr>
          <w:p>
            <w:pPr>
              <w:spacing w:after="60" w:before="60"/>
            </w:pPr>
            <w:r>
              <w:rPr>
                <w:sz w:val="18"/>
              </w:rPr>
              <w:t>__________________</w:t>
            </w:r>
          </w:p>
        </w:tc>
      </w:tr>
    </w:tbl>
    <w:p>
      <w:pPr>
        <w:spacing w:after="0"/>
      </w:pPr>
    </w:p>
    <w:p>
      <w:pPr>
        <w:pStyle w:val="Heading2"/>
      </w:pPr>
      <w:r>
        <w:t>If something does not work</w:t>
      </w:r>
    </w:p>
    <w:tbl>
      <w:tblPr>
        <w:tblStyle w:val="TableGrid"/>
        <w:tblW w:type="auto" w:w="0"/>
        <w:tblLayout w:type="autofit"/>
        <w:tblLook w:firstColumn="1" w:firstRow="1" w:lastColumn="0" w:lastRow="0" w:noHBand="0" w:noVBand="1" w:val="04A0"/>
      </w:tblPr>
      <w:tblGrid>
        <w:gridCol w:w="4946"/>
        <w:gridCol w:w="4946"/>
      </w:tblGrid>
      <w:tr>
        <w:trPr>
          <w:cantSplit/>
          <w:tblHeader/>
        </w:trPr>
        <w:tc>
          <w:tcPr>
            <w:tcW w:type="dxa" w:w="4946"/>
            <w:shd w:fill="E4EEF0"/>
          </w:tcPr>
          <w:p>
            <w:pPr>
              <w:spacing w:after="60" w:before="60"/>
            </w:pPr>
            <w:r>
              <w:rPr>
                <w:b/>
                <w:sz w:val="18"/>
              </w:rPr>
              <w:t>Symptom</w:t>
            </w:r>
          </w:p>
        </w:tc>
        <w:tc>
          <w:tcPr>
            <w:tcW w:type="dxa" w:w="4946"/>
            <w:shd w:fill="E4EEF0"/>
          </w:tcPr>
          <w:p>
            <w:pPr>
              <w:spacing w:after="60" w:before="60"/>
            </w:pPr>
            <w:r>
              <w:rPr>
                <w:b/>
                <w:sz w:val="18"/>
              </w:rPr>
              <w:t>First check</w:t>
            </w:r>
          </w:p>
        </w:tc>
      </w:tr>
      <w:tr>
        <w:trPr>
          <w:cantSplit/>
        </w:trPr>
        <w:tc>
          <w:tcPr>
            <w:tcW w:type="dxa" w:w="4946"/>
          </w:tcPr>
          <w:p>
            <w:pPr>
              <w:spacing w:after="60" w:before="60"/>
            </w:pPr>
            <w:r>
              <w:rPr>
                <w:sz w:val="18"/>
              </w:rPr>
              <w:t>Repeat import creates duplicates</w:t>
            </w:r>
          </w:p>
        </w:tc>
        <w:tc>
          <w:tcPr>
            <w:tcW w:type="dxa" w:w="4946"/>
          </w:tcPr>
          <w:p>
            <w:pPr>
              <w:spacing w:after="60" w:before="60"/>
            </w:pPr>
            <w:r>
              <w:rPr>
                <w:sz w:val="18"/>
              </w:rPr>
              <w:t>Check actual target key values, selected map and Coalesce on the correct field map.</w:t>
            </w:r>
          </w:p>
        </w:tc>
      </w:tr>
      <w:tr>
        <w:trPr>
          <w:cantSplit/>
        </w:trPr>
        <w:tc>
          <w:tcPr>
            <w:tcW w:type="dxa" w:w="4946"/>
          </w:tcPr>
          <w:p>
            <w:pPr>
              <w:spacing w:after="60" w:before="60"/>
            </w:pPr>
            <w:r>
              <w:rPr>
                <w:sz w:val="18"/>
              </w:rPr>
              <w:t>Requested For is wrong</w:t>
            </w:r>
          </w:p>
        </w:tc>
        <w:tc>
          <w:tcPr>
            <w:tcW w:type="dxa" w:w="4946"/>
          </w:tcPr>
          <w:p>
            <w:pPr>
              <w:spacing w:after="60" w:before="60"/>
            </w:pPr>
            <w:r>
              <w:rPr>
                <w:sz w:val="18"/>
              </w:rPr>
              <w:t>Check unique email matches and the reference value field.</w:t>
            </w:r>
          </w:p>
        </w:tc>
      </w:tr>
      <w:tr>
        <w:trPr>
          <w:cantSplit/>
        </w:trPr>
        <w:tc>
          <w:tcPr>
            <w:tcW w:type="dxa" w:w="4946"/>
          </w:tcPr>
          <w:p>
            <w:pPr>
              <w:spacing w:after="60" w:before="60"/>
            </w:pPr>
            <w:r>
              <w:rPr>
                <w:sz w:val="18"/>
              </w:rPr>
              <w:t>Load succeeds but target is empty</w:t>
            </w:r>
          </w:p>
        </w:tc>
        <w:tc>
          <w:tcPr>
            <w:tcW w:type="dxa" w:w="4946"/>
          </w:tcPr>
          <w:p>
            <w:pPr>
              <w:spacing w:after="60" w:before="60"/>
            </w:pPr>
            <w:r>
              <w:rPr>
                <w:sz w:val="18"/>
              </w:rPr>
              <w:t>Inspect transformation history; staging load alone is not target insertion.</w:t>
            </w:r>
          </w:p>
        </w:tc>
      </w:tr>
    </w:tbl>
    <w:p>
      <w:pPr>
        <w:spacing w:after="0"/>
      </w:pPr>
    </w:p>
    <w:p>
      <w:pPr>
        <w:pStyle w:val="Heading2"/>
      </w:pPr>
      <w:r>
        <w:t>Review your understanding</w:t>
      </w:r>
    </w:p>
    <w:p>
      <w:r>
        <w:rPr>
          <w:b/>
        </w:rPr>
        <w:t xml:space="preserve">What does coalesce do? </w:t>
      </w:r>
      <w:r>
        <w:t>It matches an incoming row to an existing target record using the configured key.</w:t>
      </w:r>
    </w:p>
    <w:p>
      <w:r>
        <w:rPr>
          <w:b/>
        </w:rPr>
        <w:t xml:space="preserve">Is Data Management another name for importing? </w:t>
      </w:r>
      <w:r>
        <w:t>No. Its list operations work on existing records.</w:t>
      </w:r>
    </w:p>
    <w:p>
      <w:pPr>
        <w:pStyle w:val="Heading2"/>
      </w:pPr>
      <w:r>
        <w:t>Submission</w:t>
      </w:r>
    </w:p>
    <w:p>
      <w:r>
        <w:t>Submit this completed document, the requested screenshots and actual record references. Keep working configuration for later days. Document any optional test you did not run and any unresolved blocker.</w:t>
      </w:r>
    </w:p>
    <w:p>
      <w:r>
        <w:t>Overall result: __________  Reviewer: __________  Date: __________</w:t>
        <w:br/>
        <w:t>Open issue and next action: __________________________________________</w:t>
      </w:r>
    </w:p>
    <w:p>
      <w:pPr>
        <w:pStyle w:val="Heading2"/>
      </w:pPr>
      <w:r>
        <w:t>Official reference topics</w:t>
      </w:r>
    </w:p>
    <w:p>
      <w:r>
        <w:t>Select Australia in the documentation release selector. Generic links may open a newer release.</w:t>
      </w:r>
    </w:p>
    <w:p>
      <w:pPr>
        <w:spacing w:after="60"/>
      </w:pPr>
      <w:r>
        <w:rPr>
          <w:sz w:val="16"/>
        </w:rPr>
        <w:t>https://www.servicenow.com/docs/r/integrate-applications/system-import-sets/t_CreatingAFieldMap.html</w:t>
      </w:r>
    </w:p>
    <w:p>
      <w:pPr>
        <w:spacing w:after="60"/>
      </w:pPr>
      <w:r>
        <w:rPr>
          <w:sz w:val="16"/>
        </w:rPr>
        <w:t>https://www.servicenow.com/docs/r/integrate-applications/system-import-sets/c_ImportSetCoalesce.html</w:t>
      </w:r>
    </w:p>
    <w:p>
      <w:pPr>
        <w:spacing w:after="60"/>
      </w:pPr>
      <w:r>
        <w:rPr>
          <w:sz w:val="16"/>
        </w:rPr>
        <w:t>https://www.servicenow.com/docs/r/platform-administration/mark-records-update.html</w:t>
      </w:r>
    </w:p>
    <w:sectPr w:rsidR="00FC693F" w:rsidRPr="0006063C" w:rsidSect="00034616">
      <w:headerReference w:type="default" r:id="rId9"/>
      <w:footerReference w:type="default" r:id="rId10"/>
      <w:pgSz w:w="11909" w:h="16834"/>
      <w:pgMar w:top="936" w:right="1008" w:bottom="893" w:left="1008"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Day 11 Hands On Lab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color w:val="526D78"/>
        <w:sz w:val="16"/>
      </w:rPr>
      <w:t>NS ServiceNow Blog    45 Day ServiceNow Master Class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2" w:lineRule="auto"/>
    </w:pPr>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40"/>
      <w:outlineLvl w:val="0"/>
    </w:pPr>
    <w:rPr>
      <w:rFonts w:asciiTheme="majorHAnsi" w:eastAsiaTheme="majorEastAsia" w:hAnsiTheme="majorHAnsi" w:cstheme="majorBidi" w:ascii="Calibri" w:hAnsi="Calibri"/>
      <w:b/>
      <w:bCs/>
      <w:color w:val="163E4B"/>
      <w:sz w:val="34"/>
      <w:szCs w:val="28"/>
    </w:rPr>
  </w:style>
  <w:style w:type="paragraph" w:styleId="Heading2">
    <w:name w:val="heading 2"/>
    <w:basedOn w:val="Normal"/>
    <w:next w:val="Normal"/>
    <w:link w:val="Heading2Char"/>
    <w:uiPriority w:val="9"/>
    <w:unhideWhenUsed/>
    <w:qFormat/>
    <w:rsid w:val="00FC693F"/>
    <w:pPr>
      <w:keepNext/>
      <w:keepLines/>
      <w:spacing w:before="200" w:after="140"/>
      <w:outlineLvl w:val="1"/>
    </w:pPr>
    <w:rPr>
      <w:rFonts w:asciiTheme="majorHAnsi" w:eastAsiaTheme="majorEastAsia" w:hAnsiTheme="majorHAnsi" w:cstheme="majorBidi" w:ascii="Calibri" w:hAnsi="Calibri"/>
      <w:b/>
      <w:bCs/>
      <w:color w:val="163E4B"/>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40" w:lineRule="auto" w:before="0"/>
      <w:contextualSpacing/>
    </w:pPr>
    <w:rPr>
      <w:rFonts w:asciiTheme="majorHAnsi" w:eastAsiaTheme="majorEastAsia" w:hAnsiTheme="majorHAnsi" w:cstheme="majorBidi" w:ascii="Calibri" w:hAnsi="Calibri"/>
      <w:b/>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spacing w:after="120" w:line="252" w:lineRule="auto"/>
      <w:ind w:left="720"/>
      <w:contextualSpacing/>
    </w:pPr>
    <w:rPr>
      <w:rFonts w:ascii="Calibri" w:hAnsi="Calibri"/>
      <w:sz w:val="21"/>
    </w:rPr>
  </w:style>
  <w:style w:type="paragraph" w:styleId="BodyText">
    <w:name w:val="Body Text"/>
    <w:basedOn w:val="Normal"/>
    <w:link w:val="BodyTextChar"/>
    <w:uiPriority w:val="99"/>
    <w:unhideWhenUsed/>
    <w:rsid w:val="00AA1D8D"/>
    <w:pPr>
      <w:spacing w:after="120" w:line="252" w:lineRule="auto"/>
    </w:pPr>
    <w:rPr>
      <w:rFonts w:ascii="Calibri" w:hAnsi="Calibri"/>
      <w:sz w:val="21"/>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Day 11 Import Sets and Transform Maps Hands On Lab</dc:title>
  <dc:subject/>
  <dc:creator>NS ServiceNow Blog</dc:creator>
  <cp:keywords/>
  <dc:description>generated by python-docx</dc:description>
  <cp:lastModifiedBy/>
  <cp:revision>1</cp:revision>
  <dcterms:created xsi:type="dcterms:W3CDTF">2013-12-23T23:15:00Z</dcterms:created>
  <dcterms:modified xsi:type="dcterms:W3CDTF">2013-12-23T23:15:00Z</dcterms:modified>
  <cp:category/>
</cp:coreProperties>
</file>