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12 Hands On Lab</w:t>
      </w:r>
    </w:p>
    <w:p>
      <w:pPr>
        <w:pStyle w:val="Title"/>
      </w:pPr>
      <w:r>
        <w:t>Knowledge Management</w:t>
      </w:r>
    </w:p>
    <w:p>
      <w:r>
        <w:t>Create a knowledge base with ownership and criteria, publish two articles through review, capture feedback, and retire obsolete guidance.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100 to 130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7 personas and groups, plus installed Knowledge Management. Day 8 register is useful for the article examples. An approved authoring role for Asha and a supported approval-based lifecycle process.</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Create the knowledge base and access criteria</w:t>
      </w:r>
    </w:p>
    <w:p>
      <w:r>
        <w:t>Employees need consistent training guidance. Kiran owns the content, Asha authors it, and pilot readers can see current published articles. Nina remains outside the pilot.</w:t>
      </w:r>
    </w:p>
    <w:p>
      <w:pPr>
        <w:ind w:left="274" w:hanging="274"/>
      </w:pPr>
      <w:r>
        <w:t>1. Open Knowledge &gt; Administration &gt; Knowledge Bases. Create or reuse NS Training Knowledge. Set Active true, Owner Kiran Manager, Managers Kiran Manager and article validity 365 days where supported.</w:t>
      </w:r>
    </w:p>
    <w:p>
      <w:pPr>
        <w:ind w:left="274" w:hanging="274"/>
      </w:pPr>
      <w:r>
        <w:t>2. Select supported approval-based publishing and retirement processes. Common legacy names are Knowledge - Approval Publish and Knowledge - Approval Retire. Use the installed flow or workflow fields, not competing processes together.</w:t>
      </w:r>
    </w:p>
    <w:p>
      <w:pPr>
        <w:ind w:left="274" w:hanging="274"/>
      </w:pPr>
      <w:r>
        <w:t>3. If those processes are unavailable, ask the instructor to identify an installed approval equivalent. Record the actual process. Do not use instant publishing and label it an approval test.</w:t>
      </w:r>
    </w:p>
    <w:p>
      <w:pPr>
        <w:ind w:left="274" w:hanging="274"/>
      </w:pPr>
      <w:r>
        <w:t>4. Create the following simple group-based user criteria. Leave Advanced false and unused selectors empty. Attach each criterion to the matching knowledge-base list.</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Criterion</w:t>
            </w:r>
          </w:p>
        </w:tc>
        <w:tc>
          <w:tcPr>
            <w:tcW w:type="dxa" w:w="3298"/>
            <w:shd w:fill="E4EEF0"/>
          </w:tcPr>
          <w:p>
            <w:pPr>
              <w:spacing w:after="60" w:before="60"/>
            </w:pPr>
            <w:r>
              <w:rPr>
                <w:b/>
                <w:sz w:val="18"/>
              </w:rPr>
              <w:t>Group</w:t>
            </w:r>
          </w:p>
        </w:tc>
        <w:tc>
          <w:tcPr>
            <w:tcW w:type="dxa" w:w="3298"/>
            <w:shd w:fill="E4EEF0"/>
          </w:tcPr>
          <w:p>
            <w:pPr>
              <w:spacing w:after="60" w:before="60"/>
            </w:pPr>
            <w:r>
              <w:rPr>
                <w:b/>
                <w:sz w:val="18"/>
              </w:rPr>
              <w:t>Attach to</w:t>
            </w:r>
          </w:p>
        </w:tc>
      </w:tr>
      <w:tr>
        <w:trPr>
          <w:cantSplit/>
        </w:trPr>
        <w:tc>
          <w:tcPr>
            <w:tcW w:type="dxa" w:w="3298"/>
          </w:tcPr>
          <w:p>
            <w:pPr>
              <w:spacing w:after="60" w:before="60"/>
            </w:pPr>
            <w:r>
              <w:rPr>
                <w:sz w:val="18"/>
              </w:rPr>
              <w:t>NS Training Read Access</w:t>
            </w:r>
          </w:p>
        </w:tc>
        <w:tc>
          <w:tcPr>
            <w:tcW w:type="dxa" w:w="3298"/>
          </w:tcPr>
          <w:p>
            <w:pPr>
              <w:spacing w:after="60" w:before="60"/>
            </w:pPr>
            <w:r>
              <w:rPr>
                <w:sz w:val="18"/>
              </w:rPr>
              <w:t>NS Training Readers</w:t>
            </w:r>
          </w:p>
        </w:tc>
        <w:tc>
          <w:tcPr>
            <w:tcW w:type="dxa" w:w="3298"/>
          </w:tcPr>
          <w:p>
            <w:pPr>
              <w:spacing w:after="60" w:before="60"/>
            </w:pPr>
            <w:r>
              <w:rPr>
                <w:sz w:val="18"/>
              </w:rPr>
              <w:t>Can Read</w:t>
            </w:r>
          </w:p>
        </w:tc>
      </w:tr>
      <w:tr>
        <w:trPr>
          <w:cantSplit/>
        </w:trPr>
        <w:tc>
          <w:tcPr>
            <w:tcW w:type="dxa" w:w="3298"/>
          </w:tcPr>
          <w:p>
            <w:pPr>
              <w:spacing w:after="60" w:before="60"/>
            </w:pPr>
            <w:r>
              <w:rPr>
                <w:sz w:val="18"/>
              </w:rPr>
              <w:t>NS Training Contribute Access</w:t>
            </w:r>
          </w:p>
        </w:tc>
        <w:tc>
          <w:tcPr>
            <w:tcW w:type="dxa" w:w="3298"/>
          </w:tcPr>
          <w:p>
            <w:pPr>
              <w:spacing w:after="60" w:before="60"/>
            </w:pPr>
            <w:r>
              <w:rPr>
                <w:sz w:val="18"/>
              </w:rPr>
              <w:t>NS Training Authors</w:t>
            </w:r>
          </w:p>
        </w:tc>
        <w:tc>
          <w:tcPr>
            <w:tcW w:type="dxa" w:w="3298"/>
          </w:tcPr>
          <w:p>
            <w:pPr>
              <w:spacing w:after="60" w:before="60"/>
            </w:pPr>
            <w:r>
              <w:rPr>
                <w:sz w:val="18"/>
              </w:rPr>
              <w:t>Can Contribute</w:t>
            </w:r>
          </w:p>
        </w:tc>
      </w:tr>
    </w:tbl>
    <w:p>
      <w:pPr>
        <w:spacing w:after="0"/>
      </w:pPr>
    </w:p>
    <w:p>
      <w:pPr>
        <w:ind w:left="274" w:hanging="274"/>
      </w:pPr>
      <w:r>
        <w:t>5. Keep Cannot Read and Cannot Contribute empty for the baseline. Inspect existing criteria on a reused base before changing anything.</w:t>
      </w:r>
    </w:p>
    <w:p>
      <w:pPr>
        <w:ind w:left="274" w:hanging="274"/>
      </w:pPr>
      <w:r>
        <w:t>6. Confirm Asha has the approved authoring capability as well as membership matching Can Contribute. Ravi must remain an ordinary reader and Nina must match neither group.</w:t>
      </w:r>
    </w:p>
    <w:p>
      <w:pPr>
        <w:ind w:left="274" w:hanging="274"/>
      </w:pPr>
      <w:r>
        <w:t>7. Create Getting Started, Tracking Requests and Legacy Guidance as top-level categories. Create Request Submission under Getting Started. Associate all with this knowledge base.</w:t>
      </w:r>
    </w:p>
    <w:p>
      <w:pPr>
        <w:ind w:left="274" w:hanging="274"/>
      </w:pPr>
      <w:r>
        <w:t>8. Enable helpfulness and comments where the KB and reader interface support them. Record the reader interface you will test.</w:t>
      </w:r>
    </w:p>
    <w:p>
      <w:r>
        <w:t>Owner and administrative accounts are not substitutes for ordinary-reader tests. Eligibility, lifecycle and validity all affect the experience.</w:t>
      </w:r>
    </w:p>
    <w:p>
      <w:r>
        <w:br w:type="page"/>
      </w:r>
    </w:p>
    <w:p>
      <w:pPr>
        <w:pStyle w:val="Heading1"/>
      </w:pPr>
      <w:r>
        <w:t>Draft and review two current articles</w:t>
      </w:r>
    </w:p>
    <w:p>
      <w:r>
        <w:t>The catalog is introduced on Day 13. Today's articles describe the working coordinator/register process. Update them through review when the catalog becomes available instead of publishing untested future navigation.</w:t>
      </w:r>
    </w:p>
    <w:p>
      <w:pPr>
        <w:pStyle w:val="Heading2"/>
      </w:pPr>
      <w:r>
        <w:t>Article one</w:t>
      </w:r>
    </w:p>
    <w:p>
      <w:r>
        <w:t>Title: How to ask for a training course. Category: Request Submission.</w:t>
      </w:r>
    </w:p>
    <w:p>
      <w:r>
        <w:t>Suggested body: Send the training coordinator your course name, preferred date, online or classroom preference and a business reason. The coordinator records the request in NS Training Management. Record the confirmation supplied by the coordinator. A submitted request is not an approval or confirmed booking. Pilot readers can view their own register records through My Training Requests. Ask the coordinator if the requested date is unavailable.</w:t>
      </w:r>
    </w:p>
    <w:p>
      <w:pPr>
        <w:pStyle w:val="Heading2"/>
      </w:pPr>
      <w:r>
        <w:t>Article two</w:t>
      </w:r>
    </w:p>
    <w:p>
      <w:r>
        <w:t>Title: How to check a training request. Category: Tracking Requests.</w:t>
      </w:r>
    </w:p>
    <w:p>
      <w:r>
        <w:t>Suggested body: Open NS Training Management and My Training Requests. Find your course and open the saved record. Review its current Status and training details. You can read your own requests; the coordinator maintains them. If a record is missing, confirm the employee and course with the coordinator. A manual register status does not by itself prove that an automated approval occurred.</w:t>
      </w:r>
    </w:p>
    <w:p>
      <w:pPr>
        <w:pStyle w:val="Heading2"/>
      </w:pPr>
      <w:r>
        <w:t>Author and review</w:t>
      </w:r>
    </w:p>
    <w:p>
      <w:pPr>
        <w:ind w:left="274" w:hanging="274"/>
      </w:pPr>
      <w:r>
        <w:t>1. As Asha, create both articles in NS Training Knowledge with future Valid to dates. Save as Draft and record their numbers.</w:t>
      </w:r>
    </w:p>
    <w:p>
      <w:pPr>
        <w:ind w:left="274" w:hanging="274"/>
      </w:pPr>
      <w:r>
        <w:t>2. As Ravi, test Article 1 search and direct reader link before publication. Its unpublished body should not be available as normal reader guidance.</w:t>
      </w:r>
    </w:p>
    <w:p>
      <w:pPr>
        <w:ind w:left="274" w:hanging="274"/>
      </w:pPr>
      <w:r>
        <w:t>3. As Asha, request publication of Article 1. Inspect the actual approval routing. As Kiran, act on the approval assigned to him and approve it. Verify Published.</w:t>
      </w:r>
    </w:p>
    <w:p>
      <w:pPr>
        <w:ind w:left="274" w:hanging="274"/>
      </w:pPr>
      <w:r>
        <w:t>4. For Article 2, initially omit the sentence explaining who maintains records. Submit for review. As Kiran, reject with a request to clarify editing responsibility.</w:t>
      </w:r>
    </w:p>
    <w:p>
      <w:pPr>
        <w:ind w:left="274" w:hanging="274"/>
      </w:pPr>
      <w:r>
        <w:t>5. As Asha, add the clarification, resubmit and obtain approval. Verify Published and inspect the saved revision.</w:t>
      </w:r>
    </w:p>
    <w:p>
      <w:pPr>
        <w:ind w:left="274" w:hanging="274"/>
      </w:pPr>
      <w:r>
        <w:t>6. As Ravi, open both published reader pages and check that the actual navigation works. If your instance has a different navigation entry, correct the article through the supported editing process.</w:t>
      </w:r>
    </w:p>
    <w:p>
      <w:r>
        <w:t>Article 1: __________ Article 2: __________ Actual publish process: __________</w:t>
      </w:r>
    </w:p>
    <w:p>
      <w:r>
        <w:br w:type="page"/>
      </w:r>
    </w:p>
    <w:p>
      <w:pPr>
        <w:pStyle w:val="Heading1"/>
      </w:pPr>
      <w:r>
        <w:t>Feedback retirement and access tests</w:t>
      </w:r>
    </w:p>
    <w:p>
      <w:pPr>
        <w:pStyle w:val="Heading2"/>
      </w:pPr>
      <w:r>
        <w:t>Feedback and ownership</w:t>
      </w:r>
    </w:p>
    <w:p>
      <w:pPr>
        <w:ind w:left="274" w:hanging="274"/>
      </w:pPr>
      <w:r>
        <w:t>1. As Ravi, submit a helpful vote and the comment Please explain what to do when a course date is unavailable on Article 1. Confirm the feedback saves.</w:t>
      </w:r>
    </w:p>
    <w:p>
      <w:pPr>
        <w:ind w:left="274" w:hanging="274"/>
      </w:pPr>
      <w:r>
        <w:t>2. As Kiran, find the article's feedback through the available feedback list or related records. Record Asha as the follow-up owner and a review date.</w:t>
      </w:r>
    </w:p>
    <w:p>
      <w:pPr>
        <w:ind w:left="274" w:hanging="274"/>
      </w:pPr>
      <w:r>
        <w:t>3. Explain that a feedback record does not necessarily create an assigned task automatically. Record the manual follow-up decision if no task mechanism is configured.</w:t>
      </w:r>
    </w:p>
    <w:p>
      <w:pPr>
        <w:pStyle w:val="Heading2"/>
      </w:pPr>
      <w:r>
        <w:t>Retire a legacy article</w:t>
      </w:r>
    </w:p>
    <w:p>
      <w:pPr>
        <w:ind w:left="274" w:hanging="274"/>
      </w:pPr>
      <w:r>
        <w:t>4. As Asha, create Legacy email training request process in Legacy Guidance. Clearly label its content as fictional obsolete guidance and link to the current submission article.</w:t>
      </w:r>
    </w:p>
    <w:p>
      <w:pPr>
        <w:ind w:left="274" w:hanging="274"/>
      </w:pPr>
      <w:r>
        <w:t>5. Publish it through the same supported review. Then request retirement, approve through the configured retire process and verify Retired.</w:t>
      </w:r>
    </w:p>
    <w:p>
      <w:pPr>
        <w:ind w:left="274" w:hanging="274"/>
      </w:pPr>
      <w:r>
        <w:t>6. Do not manually force the lifecycle state to imitate the process. Preserve the approval and history evidence.</w:t>
      </w:r>
    </w:p>
    <w:p>
      <w:pPr>
        <w:pStyle w:val="Heading2"/>
      </w:pPr>
      <w:r>
        <w:t>Test fresh sessions and direct links</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User action</w:t>
            </w:r>
          </w:p>
        </w:tc>
        <w:tc>
          <w:tcPr>
            <w:tcW w:type="dxa" w:w="4946"/>
            <w:shd w:fill="E4EEF0"/>
          </w:tcPr>
          <w:p>
            <w:pPr>
              <w:spacing w:after="60" w:before="60"/>
            </w:pPr>
            <w:r>
              <w:rPr>
                <w:b/>
                <w:sz w:val="18"/>
              </w:rPr>
              <w:t>Expected result</w:t>
            </w:r>
          </w:p>
        </w:tc>
      </w:tr>
      <w:tr>
        <w:trPr>
          <w:cantSplit/>
        </w:trPr>
        <w:tc>
          <w:tcPr>
            <w:tcW w:type="dxa" w:w="4946"/>
          </w:tcPr>
          <w:p>
            <w:pPr>
              <w:spacing w:after="60" w:before="60"/>
            </w:pPr>
            <w:r>
              <w:rPr>
                <w:sz w:val="18"/>
              </w:rPr>
              <w:t>Ravi reads current articles</w:t>
            </w:r>
          </w:p>
        </w:tc>
        <w:tc>
          <w:tcPr>
            <w:tcW w:type="dxa" w:w="4946"/>
          </w:tcPr>
          <w:p>
            <w:pPr>
              <w:spacing w:after="60" w:before="60"/>
            </w:pPr>
            <w:r>
              <w:rPr>
                <w:sz w:val="18"/>
              </w:rPr>
              <w:t>Both published bodies available</w:t>
            </w:r>
          </w:p>
        </w:tc>
      </w:tr>
      <w:tr>
        <w:trPr>
          <w:cantSplit/>
        </w:trPr>
        <w:tc>
          <w:tcPr>
            <w:tcW w:type="dxa" w:w="4946"/>
          </w:tcPr>
          <w:p>
            <w:pPr>
              <w:spacing w:after="60" w:before="60"/>
            </w:pPr>
            <w:r>
              <w:rPr>
                <w:sz w:val="18"/>
              </w:rPr>
              <w:t>Ravi contributes to this base</w:t>
            </w:r>
          </w:p>
        </w:tc>
        <w:tc>
          <w:tcPr>
            <w:tcW w:type="dxa" w:w="4946"/>
          </w:tcPr>
          <w:p>
            <w:pPr>
              <w:spacing w:after="60" w:before="60"/>
            </w:pPr>
            <w:r>
              <w:rPr>
                <w:sz w:val="18"/>
              </w:rPr>
              <w:t>Not allowed</w:t>
            </w:r>
          </w:p>
        </w:tc>
      </w:tr>
      <w:tr>
        <w:trPr>
          <w:cantSplit/>
        </w:trPr>
        <w:tc>
          <w:tcPr>
            <w:tcW w:type="dxa" w:w="4946"/>
          </w:tcPr>
          <w:p>
            <w:pPr>
              <w:spacing w:after="60" w:before="60"/>
            </w:pPr>
            <w:r>
              <w:rPr>
                <w:sz w:val="18"/>
              </w:rPr>
              <w:t>Asha authors an article</w:t>
            </w:r>
          </w:p>
        </w:tc>
        <w:tc>
          <w:tcPr>
            <w:tcW w:type="dxa" w:w="4946"/>
          </w:tcPr>
          <w:p>
            <w:pPr>
              <w:spacing w:after="60" w:before="60"/>
            </w:pPr>
            <w:r>
              <w:rPr>
                <w:sz w:val="18"/>
              </w:rPr>
              <w:t>Allowed subject to review</w:t>
            </w:r>
          </w:p>
        </w:tc>
      </w:tr>
      <w:tr>
        <w:trPr>
          <w:cantSplit/>
        </w:trPr>
        <w:tc>
          <w:tcPr>
            <w:tcW w:type="dxa" w:w="4946"/>
          </w:tcPr>
          <w:p>
            <w:pPr>
              <w:spacing w:after="60" w:before="60"/>
            </w:pPr>
            <w:r>
              <w:rPr>
                <w:sz w:val="18"/>
              </w:rPr>
              <w:t>Nina searches or opens direct reader links</w:t>
            </w:r>
          </w:p>
        </w:tc>
        <w:tc>
          <w:tcPr>
            <w:tcW w:type="dxa" w:w="4946"/>
          </w:tcPr>
          <w:p>
            <w:pPr>
              <w:spacing w:after="60" w:before="60"/>
            </w:pPr>
            <w:r>
              <w:rPr>
                <w:sz w:val="18"/>
              </w:rPr>
              <w:t>Protected body not exposed</w:t>
            </w:r>
          </w:p>
        </w:tc>
      </w:tr>
      <w:tr>
        <w:trPr>
          <w:cantSplit/>
        </w:trPr>
        <w:tc>
          <w:tcPr>
            <w:tcW w:type="dxa" w:w="4946"/>
          </w:tcPr>
          <w:p>
            <w:pPr>
              <w:spacing w:after="60" w:before="60"/>
            </w:pPr>
            <w:r>
              <w:rPr>
                <w:sz w:val="18"/>
              </w:rPr>
              <w:t>Signed-out browser opens protected link</w:t>
            </w:r>
          </w:p>
        </w:tc>
        <w:tc>
          <w:tcPr>
            <w:tcW w:type="dxa" w:w="4946"/>
          </w:tcPr>
          <w:p>
            <w:pPr>
              <w:spacing w:after="60" w:before="60"/>
            </w:pPr>
            <w:r>
              <w:rPr>
                <w:sz w:val="18"/>
              </w:rPr>
              <w:t>Login or denial</w:t>
            </w:r>
          </w:p>
        </w:tc>
      </w:tr>
      <w:tr>
        <w:trPr>
          <w:cantSplit/>
        </w:trPr>
        <w:tc>
          <w:tcPr>
            <w:tcW w:type="dxa" w:w="4946"/>
          </w:tcPr>
          <w:p>
            <w:pPr>
              <w:spacing w:after="60" w:before="60"/>
            </w:pPr>
            <w:r>
              <w:rPr>
                <w:sz w:val="18"/>
              </w:rPr>
              <w:t>Ravi opens retired article</w:t>
            </w:r>
          </w:p>
        </w:tc>
        <w:tc>
          <w:tcPr>
            <w:tcW w:type="dxa" w:w="4946"/>
          </w:tcPr>
          <w:p>
            <w:pPr>
              <w:spacing w:after="60" w:before="60"/>
            </w:pPr>
            <w:r>
              <w:rPr>
                <w:sz w:val="18"/>
              </w:rPr>
              <w:t>No normal access to obsolete body</w:t>
            </w:r>
          </w:p>
        </w:tc>
      </w:tr>
    </w:tbl>
    <w:p>
      <w:pPr>
        <w:spacing w:after="0"/>
      </w:pPr>
    </w:p>
    <w:p>
      <w:pPr>
        <w:ind w:left="274" w:hanging="274"/>
      </w:pPr>
      <w:r>
        <w:t>7. Record Pass, Fail or Blocked for each test. Administrator visibility does not prove the outsider test passed.</w:t>
      </w:r>
    </w:p>
    <w:p>
      <w:pPr>
        <w:ind w:left="274" w:hanging="274"/>
      </w:pPr>
      <w:r>
        <w:t>8. Set a content review date in your worksheet, for example 90 days from review. The 365-day validity setting does not automatically create your review task.</w:t>
      </w:r>
    </w:p>
    <w:p>
      <w:pPr>
        <w:pStyle w:val="Heading2"/>
      </w:pPr>
      <w:r>
        <w:t>Continue after Day 13</w:t>
      </w:r>
    </w:p>
    <w:p>
      <w:r>
        <w:t>Once the catalog is working, revise the submission and tracking articles to describe the tested catalog path. Explain that older register entries and catalog orders remain separate record families.</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Knowledge base owner and lifecycle processes recorded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Read and contribute criteria attached correctly</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Two articles published through review including one correction</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Feedback saved with a follow-up owner</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Legacy article retired through the process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Ordinary-reader and outsider direct-link results recorded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Ravi cannot read published article</w:t>
            </w:r>
          </w:p>
        </w:tc>
        <w:tc>
          <w:tcPr>
            <w:tcW w:type="dxa" w:w="4946"/>
          </w:tcPr>
          <w:p>
            <w:pPr>
              <w:spacing w:after="60" w:before="60"/>
            </w:pPr>
            <w:r>
              <w:rPr>
                <w:sz w:val="18"/>
              </w:rPr>
              <w:t>Check validity, base/article criteria, memberships and reader URL.</w:t>
            </w:r>
          </w:p>
        </w:tc>
      </w:tr>
      <w:tr>
        <w:trPr>
          <w:cantSplit/>
        </w:trPr>
        <w:tc>
          <w:tcPr>
            <w:tcW w:type="dxa" w:w="4946"/>
          </w:tcPr>
          <w:p>
            <w:pPr>
              <w:spacing w:after="60" w:before="60"/>
            </w:pPr>
            <w:r>
              <w:rPr>
                <w:sz w:val="18"/>
              </w:rPr>
              <w:t>No approval appears</w:t>
            </w:r>
          </w:p>
        </w:tc>
        <w:tc>
          <w:tcPr>
            <w:tcW w:type="dxa" w:w="4946"/>
          </w:tcPr>
          <w:p>
            <w:pPr>
              <w:spacing w:after="60" w:before="60"/>
            </w:pPr>
            <w:r>
              <w:rPr>
                <w:sz w:val="18"/>
              </w:rPr>
              <w:t>Inspect the selected lifecycle process, actual routing and required manager configuration.</w:t>
            </w:r>
          </w:p>
        </w:tc>
      </w:tr>
    </w:tbl>
    <w:p>
      <w:pPr>
        <w:spacing w:after="0"/>
      </w:pPr>
    </w:p>
    <w:p>
      <w:pPr>
        <w:pStyle w:val="Heading2"/>
      </w:pPr>
      <w:r>
        <w:t>Review your understanding</w:t>
      </w:r>
    </w:p>
    <w:p>
      <w:r>
        <w:rPr>
          <w:b/>
        </w:rPr>
        <w:t xml:space="preserve">Does an author role alone decide the knowledge base audience? </w:t>
      </w:r>
      <w:r>
        <w:t>No. Check criteria and the applicable content access rules as well.</w:t>
      </w:r>
    </w:p>
    <w:p>
      <w:r>
        <w:rPr>
          <w:b/>
        </w:rPr>
        <w:t xml:space="preserve">Why revise articles after the catalog lab? </w:t>
      </w:r>
      <w:r>
        <w:t>Published instructions should describe the interface that actually works.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https://www.servicenow.com/docs/r/servicenow-platform/knowledge-management/r_KnowledgeWorkflows.html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12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12 Knowledge Management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