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Day 14 Hands On Lab</w:t>
      </w:r>
    </w:p>
    <w:p>
      <w:pPr>
        <w:pStyle w:val="Title"/>
      </w:pPr>
      <w:r>
        <w:t>Requests Approvals Fulfillment and Record Producers</w:t>
      </w:r>
    </w:p>
    <w:p>
      <w:r>
        <w:t>Follow REQ RITM and SCTASK relationships, build one approval and fulfillment flow, create an Incident producer and test an order guide.</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Lab detail</w:t>
            </w:r>
          </w:p>
        </w:tc>
        <w:tc>
          <w:tcPr>
            <w:tcW w:type="dxa" w:w="4946"/>
            <w:shd w:fill="E4EEF0"/>
          </w:tcPr>
          <w:p>
            <w:pPr>
              <w:spacing w:after="60" w:before="60"/>
            </w:pPr>
            <w:r>
              <w:rPr>
                <w:b/>
                <w:sz w:val="18"/>
              </w:rPr>
              <w:t>Plan</w:t>
            </w:r>
          </w:p>
        </w:tc>
      </w:tr>
      <w:tr>
        <w:trPr>
          <w:cantSplit/>
        </w:trPr>
        <w:tc>
          <w:tcPr>
            <w:tcW w:type="dxa" w:w="4946"/>
          </w:tcPr>
          <w:p>
            <w:pPr>
              <w:spacing w:after="60" w:before="60"/>
            </w:pPr>
            <w:r>
              <w:rPr>
                <w:sz w:val="18"/>
              </w:rPr>
              <w:t>Level</w:t>
            </w:r>
          </w:p>
        </w:tc>
        <w:tc>
          <w:tcPr>
            <w:tcW w:type="dxa" w:w="4946"/>
          </w:tcPr>
          <w:p>
            <w:pPr>
              <w:spacing w:after="60" w:before="60"/>
            </w:pPr>
            <w:r>
              <w:rPr>
                <w:sz w:val="18"/>
              </w:rPr>
              <w:t>Level 1 beginner</w:t>
            </w:r>
          </w:p>
        </w:tc>
      </w:tr>
      <w:tr>
        <w:trPr>
          <w:cantSplit/>
        </w:trPr>
        <w:tc>
          <w:tcPr>
            <w:tcW w:type="dxa" w:w="4946"/>
          </w:tcPr>
          <w:p>
            <w:pPr>
              <w:spacing w:after="60" w:before="60"/>
            </w:pPr>
            <w:r>
              <w:rPr>
                <w:sz w:val="18"/>
              </w:rPr>
              <w:t>Estimated practice time</w:t>
            </w:r>
          </w:p>
        </w:tc>
        <w:tc>
          <w:tcPr>
            <w:tcW w:type="dxa" w:w="4946"/>
          </w:tcPr>
          <w:p>
            <w:pPr>
              <w:spacing w:after="60" w:before="60"/>
            </w:pPr>
            <w:r>
              <w:rPr>
                <w:sz w:val="18"/>
              </w:rPr>
              <w:t>150 to 180 minutes</w:t>
            </w:r>
          </w:p>
        </w:tc>
      </w:tr>
      <w:tr>
        <w:trPr>
          <w:cantSplit/>
        </w:trPr>
        <w:tc>
          <w:tcPr>
            <w:tcW w:type="dxa" w:w="4946"/>
          </w:tcPr>
          <w:p>
            <w:pPr>
              <w:spacing w:after="60" w:before="60"/>
            </w:pPr>
            <w:r>
              <w:rPr>
                <w:sz w:val="18"/>
              </w:rPr>
              <w:t>Course baseline</w:t>
            </w:r>
          </w:p>
        </w:tc>
        <w:tc>
          <w:tcPr>
            <w:tcW w:type="dxa" w:w="4946"/>
          </w:tcPr>
          <w:p>
            <w:pPr>
              <w:spacing w:after="60" w:before="60"/>
            </w:pPr>
            <w:r>
              <w:rPr>
                <w:sz w:val="18"/>
              </w:rPr>
              <w:t>Australia release and Global scope for configuration</w:t>
            </w:r>
          </w:p>
        </w:tc>
      </w:tr>
      <w:tr>
        <w:trPr>
          <w:cantSplit/>
        </w:trPr>
        <w:tc>
          <w:tcPr>
            <w:tcW w:type="dxa" w:w="4946"/>
          </w:tcPr>
          <w:p>
            <w:pPr>
              <w:spacing w:after="60" w:before="60"/>
            </w:pPr>
            <w:r>
              <w:rPr>
                <w:sz w:val="18"/>
              </w:rPr>
              <w:t>Business scenario</w:t>
            </w:r>
          </w:p>
        </w:tc>
        <w:tc>
          <w:tcPr>
            <w:tcW w:type="dxa" w:w="4946"/>
          </w:tcPr>
          <w:p>
            <w:pPr>
              <w:spacing w:after="60" w:before="60"/>
            </w:pPr>
            <w:r>
              <w:rPr>
                <w:sz w:val="18"/>
              </w:rPr>
              <w:t>NS Technologies Training Service Management</w:t>
            </w:r>
          </w:p>
        </w:tc>
      </w:tr>
    </w:tbl>
    <w:p>
      <w:pPr>
        <w:spacing w:after="0"/>
      </w:pPr>
    </w:p>
    <w:p>
      <w:pPr>
        <w:pStyle w:val="Heading1"/>
      </w:pPr>
      <w:r>
        <w:t>Before you begin</w:t>
      </w:r>
    </w:p>
    <w:p>
      <w:r>
        <w:t>Day 13 catalog items, Day 7 approver and fulfiller access, and installed Workflow Studio or Flow Designer. Instructor guidance for process configuration.</w:t>
      </w:r>
    </w:p>
    <w:p>
      <w:r>
        <w:t>Use an approved practice instance and fictional information. Search for matching course objects before creating them. Reuse your own existing lab records and write down technical names that differ from this workbook.</w:t>
      </w:r>
    </w:p>
    <w:p>
      <w:r>
        <w:t>Menu labels and available actions vary by release, installed capabilities and roles. Use the same function in your interface and record any unavailable prerequisite as Blocked. Do not mark an unexecuted test as passed.</w:t>
      </w:r>
    </w:p>
    <w:p>
      <w:pPr>
        <w:pStyle w:val="Heading1"/>
      </w:pPr>
      <w:r>
        <w:t>Your lab record</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Record</w:t>
            </w:r>
          </w:p>
        </w:tc>
        <w:tc>
          <w:tcPr>
            <w:tcW w:type="dxa" w:w="4946"/>
            <w:shd w:fill="E4EEF0"/>
          </w:tcPr>
          <w:p>
            <w:pPr>
              <w:spacing w:after="60" w:before="60"/>
            </w:pPr>
            <w:r>
              <w:rPr>
                <w:b/>
                <w:sz w:val="18"/>
              </w:rPr>
              <w:t>Your entry</w:t>
            </w:r>
          </w:p>
        </w:tc>
      </w:tr>
      <w:tr>
        <w:trPr>
          <w:cantSplit/>
        </w:trPr>
        <w:tc>
          <w:tcPr>
            <w:tcW w:type="dxa" w:w="4946"/>
          </w:tcPr>
          <w:p>
            <w:pPr>
              <w:spacing w:after="60" w:before="60"/>
            </w:pPr>
            <w:r>
              <w:rPr>
                <w:sz w:val="18"/>
              </w:rPr>
              <w:t>Learner and date</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Instance and release</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Setup account and test users</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Current update set if configuring</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Evidence folder</w:t>
            </w:r>
          </w:p>
        </w:tc>
        <w:tc>
          <w:tcPr>
            <w:tcW w:type="dxa" w:w="4946"/>
          </w:tcPr>
          <w:p>
            <w:pPr>
              <w:spacing w:after="60" w:before="60"/>
            </w:pPr>
            <w:r>
              <w:rPr>
                <w:sz w:val="18"/>
              </w:rPr>
              <w:t>_____________________________________</w:t>
            </w:r>
          </w:p>
        </w:tc>
      </w:tr>
    </w:tbl>
    <w:p>
      <w:pPr>
        <w:spacing w:after="0"/>
      </w:pPr>
    </w:p>
    <w:p>
      <w:pPr>
        <w:pStyle w:val="Heading1"/>
      </w:pPr>
      <w:r>
        <w:t>How to complete this lab</w:t>
      </w:r>
    </w:p>
    <w:p>
      <w:r>
        <w:t>Follow the task pages in order. Keep screenshots and actual record identifiers with this document. On the final page, record each result as Pass, Fail, Blocked or Not performed and explain any difference from the expected result.</w:t>
      </w:r>
    </w:p>
    <w:p>
      <w:r>
        <w:br w:type="page"/>
      </w:r>
    </w:p>
    <w:p>
      <w:pPr>
        <w:pStyle w:val="Heading1"/>
      </w:pPr>
      <w:r>
        <w:t>Build the approval branch</w:t>
      </w:r>
    </w:p>
    <w:p>
      <w:r>
        <w:t>Each training item needs Kiran's approval. An approved item creates one task for NS Training Fulfillment. Rejection creates no fulfillment task.</w:t>
      </w:r>
    </w:p>
    <w:tbl>
      <w:tblPr>
        <w:tblStyle w:val="TableGrid"/>
        <w:tblW w:type="auto" w:w="0"/>
        <w:tblLayout w:type="autofit"/>
        <w:tblLook w:firstColumn="1" w:firstRow="1" w:lastColumn="0" w:lastRow="0" w:noHBand="0" w:noVBand="1" w:val="04A0"/>
      </w:tblPr>
      <w:tblGrid>
        <w:gridCol w:w="3298"/>
        <w:gridCol w:w="3298"/>
        <w:gridCol w:w="3298"/>
      </w:tblGrid>
      <w:tr>
        <w:trPr>
          <w:cantSplit/>
          <w:tblHeader/>
        </w:trPr>
        <w:tc>
          <w:tcPr>
            <w:tcW w:type="dxa" w:w="3298"/>
            <w:shd w:fill="E4EEF0"/>
          </w:tcPr>
          <w:p>
            <w:pPr>
              <w:spacing w:after="60" w:before="60"/>
            </w:pPr>
            <w:r>
              <w:rPr>
                <w:b/>
                <w:sz w:val="18"/>
              </w:rPr>
              <w:t>Record</w:t>
            </w:r>
          </w:p>
        </w:tc>
        <w:tc>
          <w:tcPr>
            <w:tcW w:type="dxa" w:w="3298"/>
            <w:shd w:fill="E4EEF0"/>
          </w:tcPr>
          <w:p>
            <w:pPr>
              <w:spacing w:after="60" w:before="60"/>
            </w:pPr>
            <w:r>
              <w:rPr>
                <w:b/>
                <w:sz w:val="18"/>
              </w:rPr>
              <w:t>Table</w:t>
            </w:r>
          </w:p>
        </w:tc>
        <w:tc>
          <w:tcPr>
            <w:tcW w:type="dxa" w:w="3298"/>
            <w:shd w:fill="E4EEF0"/>
          </w:tcPr>
          <w:p>
            <w:pPr>
              <w:spacing w:after="60" w:before="60"/>
            </w:pPr>
            <w:r>
              <w:rPr>
                <w:b/>
                <w:sz w:val="18"/>
              </w:rPr>
              <w:t>Meaning</w:t>
            </w:r>
          </w:p>
        </w:tc>
      </w:tr>
      <w:tr>
        <w:trPr>
          <w:cantSplit/>
        </w:trPr>
        <w:tc>
          <w:tcPr>
            <w:tcW w:type="dxa" w:w="3298"/>
          </w:tcPr>
          <w:p>
            <w:pPr>
              <w:spacing w:after="60" w:before="60"/>
            </w:pPr>
            <w:r>
              <w:rPr>
                <w:sz w:val="18"/>
              </w:rPr>
              <w:t>REQ</w:t>
            </w:r>
          </w:p>
        </w:tc>
        <w:tc>
          <w:tcPr>
            <w:tcW w:type="dxa" w:w="3298"/>
          </w:tcPr>
          <w:p>
            <w:pPr>
              <w:spacing w:after="60" w:before="60"/>
            </w:pPr>
            <w:r>
              <w:rPr>
                <w:sz w:val="18"/>
              </w:rPr>
              <w:t>sc_request</w:t>
            </w:r>
          </w:p>
        </w:tc>
        <w:tc>
          <w:tcPr>
            <w:tcW w:type="dxa" w:w="3298"/>
          </w:tcPr>
          <w:p>
            <w:pPr>
              <w:spacing w:after="60" w:before="60"/>
            </w:pPr>
            <w:r>
              <w:rPr>
                <w:sz w:val="18"/>
              </w:rPr>
              <w:t>Order container</w:t>
            </w:r>
          </w:p>
        </w:tc>
      </w:tr>
      <w:tr>
        <w:trPr>
          <w:cantSplit/>
        </w:trPr>
        <w:tc>
          <w:tcPr>
            <w:tcW w:type="dxa" w:w="3298"/>
          </w:tcPr>
          <w:p>
            <w:pPr>
              <w:spacing w:after="60" w:before="60"/>
            </w:pPr>
            <w:r>
              <w:rPr>
                <w:sz w:val="18"/>
              </w:rPr>
              <w:t>RITM</w:t>
            </w:r>
          </w:p>
        </w:tc>
        <w:tc>
          <w:tcPr>
            <w:tcW w:type="dxa" w:w="3298"/>
          </w:tcPr>
          <w:p>
            <w:pPr>
              <w:spacing w:after="60" w:before="60"/>
            </w:pPr>
            <w:r>
              <w:rPr>
                <w:sz w:val="18"/>
              </w:rPr>
              <w:t>sc_req_item</w:t>
            </w:r>
          </w:p>
        </w:tc>
        <w:tc>
          <w:tcPr>
            <w:tcW w:type="dxa" w:w="3298"/>
          </w:tcPr>
          <w:p>
            <w:pPr>
              <w:spacing w:after="60" w:before="60"/>
            </w:pPr>
            <w:r>
              <w:rPr>
                <w:sz w:val="18"/>
              </w:rPr>
              <w:t>One requested catalog item</w:t>
            </w:r>
          </w:p>
        </w:tc>
      </w:tr>
      <w:tr>
        <w:trPr>
          <w:cantSplit/>
        </w:trPr>
        <w:tc>
          <w:tcPr>
            <w:tcW w:type="dxa" w:w="3298"/>
          </w:tcPr>
          <w:p>
            <w:pPr>
              <w:spacing w:after="60" w:before="60"/>
            </w:pPr>
            <w:r>
              <w:rPr>
                <w:sz w:val="18"/>
              </w:rPr>
              <w:t>SCTASK</w:t>
            </w:r>
          </w:p>
        </w:tc>
        <w:tc>
          <w:tcPr>
            <w:tcW w:type="dxa" w:w="3298"/>
          </w:tcPr>
          <w:p>
            <w:pPr>
              <w:spacing w:after="60" w:before="60"/>
            </w:pPr>
            <w:r>
              <w:rPr>
                <w:sz w:val="18"/>
              </w:rPr>
              <w:t>sc_task</w:t>
            </w:r>
          </w:p>
        </w:tc>
        <w:tc>
          <w:tcPr>
            <w:tcW w:type="dxa" w:w="3298"/>
          </w:tcPr>
          <w:p>
            <w:pPr>
              <w:spacing w:after="60" w:before="60"/>
            </w:pPr>
            <w:r>
              <w:rPr>
                <w:sz w:val="18"/>
              </w:rPr>
              <w:t>Fulfillment work for a requested item</w:t>
            </w:r>
          </w:p>
        </w:tc>
      </w:tr>
    </w:tbl>
    <w:p>
      <w:pPr>
        <w:spacing w:after="0"/>
      </w:pPr>
    </w:p>
    <w:p>
      <w:pPr>
        <w:ind w:left="274" w:hanging="274"/>
      </w:pPr>
      <w:r>
        <w:t>1. Create and make current NS_TRM_D14_Request_Process. Record both catalog item references and their existing process associations.</w:t>
      </w:r>
    </w:p>
    <w:p>
      <w:pPr>
        <w:ind w:left="274" w:hanging="274"/>
      </w:pPr>
      <w:r>
        <w:t>2. In Workflow Studio or Flow Designer, create Global flow NS Training Request Fulfillment with a Service Catalog trigger. Keep it inactive until both branches are complete.</w:t>
      </w:r>
    </w:p>
    <w:p>
      <w:pPr>
        <w:ind w:left="274" w:hanging="274"/>
      </w:pPr>
      <w:r>
        <w:t>3. Add Ask for Approval. Select the trigger Requested Item as Record, sc_req_item as Table when required, and Approval as its approval field.</w:t>
      </w:r>
    </w:p>
    <w:p>
      <w:pPr>
        <w:ind w:left="274" w:hanging="274"/>
      </w:pPr>
      <w:r>
        <w:t>4. Set approval rule Anyone approves with Kiran Manager. Set rejection rule Anyone rejects with Kiran Manager. Use the instance's supported rule builder.</w:t>
      </w:r>
    </w:p>
    <w:p>
      <w:pPr>
        <w:ind w:left="274" w:hanging="274"/>
      </w:pPr>
      <w:r>
        <w:t>5. Leave an approval due date unset for this controlled lab. Pending approval should wait for Kiran; do not immediately treat waiting as rejection.</w:t>
      </w:r>
    </w:p>
    <w:p>
      <w:pPr>
        <w:ind w:left="274" w:hanging="274"/>
      </w:pPr>
      <w:r>
        <w:t>6. Add If using Ask for Approval output Approval State is Approved. Place fulfillment actions inside this approved branch.</w:t>
      </w:r>
    </w:p>
    <w:p>
      <w:pPr>
        <w:ind w:left="274" w:hanging="274"/>
      </w:pPr>
      <w:r>
        <w:t>7. In that branch, Update Record on the trigger RITM: State Work in Progress and Active true.</w:t>
      </w:r>
    </w:p>
    <w:p>
      <w:pPr>
        <w:ind w:left="274" w:hanging="274"/>
      </w:pPr>
      <w:r>
        <w:t>8. Reserve the outer Else for a completed non-approved outcome. Do not create a Catalog Task before the approval result is Approved.</w:t>
      </w:r>
    </w:p>
    <w:p>
      <w:r>
        <w:t>Use record data pills from the trigger and action outputs. Do not hard-code a sample RITM number. Validate that Kiran can act on his own assigned approval using the approved role configuration.</w:t>
      </w:r>
    </w:p>
    <w:p>
      <w:r>
        <w:br w:type="page"/>
      </w:r>
    </w:p>
    <w:p>
      <w:pPr>
        <w:pStyle w:val="Heading1"/>
      </w:pPr>
      <w:r>
        <w:t>Complete and activate fulfillment</w:t>
      </w:r>
    </w:p>
    <w:p>
      <w:pPr>
        <w:pStyle w:val="Heading2"/>
      </w:pPr>
      <w:r>
        <w:t>Approved path</w:t>
      </w:r>
    </w:p>
    <w:p>
      <w:pPr>
        <w:ind w:left="274" w:hanging="274"/>
      </w:pPr>
      <w:r>
        <w:t>1. Add Create Catalog Task inside the approved branch. Requested Item is the trigger RITM. Set a useful Short description such as Fulfill followed by the item description, and Assignment group NS Training Fulfillment.</w:t>
      </w:r>
    </w:p>
    <w:p>
      <w:pPr>
        <w:ind w:left="274" w:hanging="274"/>
      </w:pPr>
      <w:r>
        <w:t>2. Select Wait. The flow waits for the task to become inactive. Inactivity alone does not prove successful completion.</w:t>
      </w:r>
    </w:p>
    <w:p>
      <w:pPr>
        <w:ind w:left="274" w:hanging="274"/>
      </w:pPr>
      <w:r>
        <w:t>3. After the wait, add Look Up Record on Catalog Task, matching Sys ID to the created task record output. This reads the saved final state.</w:t>
      </w:r>
    </w:p>
    <w:p>
      <w:pPr>
        <w:ind w:left="274" w:hanging="274"/>
      </w:pPr>
      <w:r>
        <w:t>4. Add an inner If: looked-up task State is Closed Complete. Update the trigger RITM to Closed Complete and Active false.</w:t>
      </w:r>
    </w:p>
    <w:p>
      <w:pPr>
        <w:ind w:left="274" w:hanging="274"/>
      </w:pPr>
      <w:r>
        <w:t>5. In the inner Else, update that RITM to Closed Incomplete and Active false. Add a work note explaining that fulfillment ended without successful completion.</w:t>
      </w:r>
    </w:p>
    <w:p>
      <w:pPr>
        <w:pStyle w:val="Heading2"/>
      </w:pPr>
      <w:r>
        <w:t>Non-approved path</w:t>
      </w:r>
    </w:p>
    <w:p>
      <w:pPr>
        <w:ind w:left="274" w:hanging="274"/>
      </w:pPr>
      <w:r>
        <w:t>6. In the outer approval Else, update the trigger RITM to Closed Incomplete and Active false. Record the returned approval outcome in Work notes. Create no task and preserve the actual approval result.</w:t>
      </w:r>
    </w:p>
    <w:p>
      <w:pPr>
        <w:pStyle w:val="Heading2"/>
      </w:pPr>
      <w:r>
        <w:t>Connect the items</w:t>
      </w:r>
    </w:p>
    <w:p>
      <w:pPr>
        <w:ind w:left="274" w:hanging="274"/>
      </w:pPr>
      <w:r>
        <w:t>7. Save, validate and activate the flow using the instance's supported action. Open Request Training and select this flow in its process configuration.</w:t>
      </w:r>
    </w:p>
    <w:p>
      <w:pPr>
        <w:ind w:left="274" w:hanging="274"/>
      </w:pPr>
      <w:r>
        <w:t>8. On this dedicated lab item, inspect and clear competing Workflow or Execution Plan associations before testing. Do not change unrelated catalog items.</w:t>
      </w:r>
    </w:p>
    <w:p>
      <w:pPr>
        <w:ind w:left="274" w:hanging="274"/>
      </w:pPr>
      <w:r>
        <w:t>9. Attach the same flow to Training Platform Access. Save both items.</w:t>
      </w:r>
    </w:p>
    <w:p>
      <w:pPr>
        <w:ind w:left="274" w:hanging="274"/>
      </w:pPr>
      <w:r>
        <w:t>10. Submit a fresh Request Training order. As Kiran, approve the actual assigned approval. As Maya, find the generated task through My Work or Catalog Tasks, set required completion fields and close it complete.</w:t>
      </w:r>
    </w:p>
    <w:p>
      <w:pPr>
        <w:ind w:left="274" w:hanging="274"/>
      </w:pPr>
      <w:r>
        <w:t>11. Inspect flow execution details and verify the RITM becomes inactive and Closed Complete. Record REQ, RITM, approval and task numbers.</w:t>
      </w:r>
    </w:p>
    <w:p>
      <w:r>
        <w:t>The flow controls the RITM and its task. Parent REQ behavior depends on the installed request process. Observe it without forcing a promised state. This flow does not update the custom training register or prove course attendance.</w:t>
      </w:r>
    </w:p>
    <w:p>
      <w:r>
        <w:br w:type="page"/>
      </w:r>
    </w:p>
    <w:p>
      <w:pPr>
        <w:pStyle w:val="Heading1"/>
      </w:pPr>
      <w:r>
        <w:t>Create an Incident record producer</w:t>
      </w:r>
    </w:p>
    <w:p>
      <w:r>
        <w:t>A course order asks for a planned service. A training access issue reports a disruption. Build a producer that creates an Incident directly.</w:t>
      </w:r>
    </w:p>
    <w:p>
      <w:pPr>
        <w:ind w:left="274" w:hanging="274"/>
      </w:pPr>
      <w:r>
        <w:t>1. Open Service Catalog &gt; Catalog Definitions &gt; Record Producers. Create Report Training Access Issue with target Incident [incident], the existing catalog and Course Requests category.</w:t>
      </w:r>
    </w:p>
    <w:p>
      <w:pPr>
        <w:ind w:left="274" w:hanging="274"/>
      </w:pPr>
      <w:r>
        <w:t>2. Apply NS Training Catalog Access through Available For. Keep baseline Not Available For empty and the producer inactive while building.</w:t>
      </w:r>
    </w:p>
    <w:p>
      <w:pPr>
        <w:ind w:left="274" w:hanging="274"/>
      </w:pPr>
      <w:r>
        <w:t>3. Add the following mandatory variables and use the supported Map to field setting for each direct mapping.</w:t>
      </w:r>
    </w:p>
    <w:tbl>
      <w:tblPr>
        <w:tblStyle w:val="TableGrid"/>
        <w:tblW w:type="auto" w:w="0"/>
        <w:tblLayout w:type="autofit"/>
        <w:tblLook w:firstColumn="1" w:firstRow="1" w:lastColumn="0" w:lastRow="0" w:noHBand="0" w:noVBand="1" w:val="04A0"/>
      </w:tblPr>
      <w:tblGrid>
        <w:gridCol w:w="3298"/>
        <w:gridCol w:w="3298"/>
        <w:gridCol w:w="3298"/>
      </w:tblGrid>
      <w:tr>
        <w:trPr>
          <w:cantSplit/>
          <w:tblHeader/>
        </w:trPr>
        <w:tc>
          <w:tcPr>
            <w:tcW w:type="dxa" w:w="3298"/>
            <w:shd w:fill="E4EEF0"/>
          </w:tcPr>
          <w:p>
            <w:pPr>
              <w:spacing w:after="60" w:before="60"/>
            </w:pPr>
            <w:r>
              <w:rPr>
                <w:b/>
                <w:sz w:val="18"/>
              </w:rPr>
              <w:t>Variable name</w:t>
            </w:r>
          </w:p>
        </w:tc>
        <w:tc>
          <w:tcPr>
            <w:tcW w:type="dxa" w:w="3298"/>
            <w:shd w:fill="E4EEF0"/>
          </w:tcPr>
          <w:p>
            <w:pPr>
              <w:spacing w:after="60" w:before="60"/>
            </w:pPr>
            <w:r>
              <w:rPr>
                <w:b/>
                <w:sz w:val="18"/>
              </w:rPr>
              <w:t>Type</w:t>
            </w:r>
          </w:p>
        </w:tc>
        <w:tc>
          <w:tcPr>
            <w:tcW w:type="dxa" w:w="3298"/>
            <w:shd w:fill="E4EEF0"/>
          </w:tcPr>
          <w:p>
            <w:pPr>
              <w:spacing w:after="60" w:before="60"/>
            </w:pPr>
            <w:r>
              <w:rPr>
                <w:b/>
                <w:sz w:val="18"/>
              </w:rPr>
              <w:t>Target Incident field</w:t>
            </w:r>
          </w:p>
        </w:tc>
      </w:tr>
      <w:tr>
        <w:trPr>
          <w:cantSplit/>
        </w:trPr>
        <w:tc>
          <w:tcPr>
            <w:tcW w:type="dxa" w:w="3298"/>
          </w:tcPr>
          <w:p>
            <w:pPr>
              <w:spacing w:after="60" w:before="60"/>
            </w:pPr>
            <w:r>
              <w:rPr>
                <w:sz w:val="18"/>
              </w:rPr>
              <w:t>caller_id</w:t>
            </w:r>
          </w:p>
        </w:tc>
        <w:tc>
          <w:tcPr>
            <w:tcW w:type="dxa" w:w="3298"/>
          </w:tcPr>
          <w:p>
            <w:pPr>
              <w:spacing w:after="60" w:before="60"/>
            </w:pPr>
            <w:r>
              <w:rPr>
                <w:sz w:val="18"/>
              </w:rPr>
              <w:t>Reference to sys_user</w:t>
            </w:r>
          </w:p>
        </w:tc>
        <w:tc>
          <w:tcPr>
            <w:tcW w:type="dxa" w:w="3298"/>
          </w:tcPr>
          <w:p>
            <w:pPr>
              <w:spacing w:after="60" w:before="60"/>
            </w:pPr>
            <w:r>
              <w:rPr>
                <w:sz w:val="18"/>
              </w:rPr>
              <w:t>Caller [caller_id]</w:t>
            </w:r>
          </w:p>
        </w:tc>
      </w:tr>
      <w:tr>
        <w:trPr>
          <w:cantSplit/>
        </w:trPr>
        <w:tc>
          <w:tcPr>
            <w:tcW w:type="dxa" w:w="3298"/>
          </w:tcPr>
          <w:p>
            <w:pPr>
              <w:spacing w:after="60" w:before="60"/>
            </w:pPr>
            <w:r>
              <w:rPr>
                <w:sz w:val="18"/>
              </w:rPr>
              <w:t>short_description</w:t>
            </w:r>
          </w:p>
        </w:tc>
        <w:tc>
          <w:tcPr>
            <w:tcW w:type="dxa" w:w="3298"/>
          </w:tcPr>
          <w:p>
            <w:pPr>
              <w:spacing w:after="60" w:before="60"/>
            </w:pPr>
            <w:r>
              <w:rPr>
                <w:sz w:val="18"/>
              </w:rPr>
              <w:t>Single Line Text</w:t>
            </w:r>
          </w:p>
        </w:tc>
        <w:tc>
          <w:tcPr>
            <w:tcW w:type="dxa" w:w="3298"/>
          </w:tcPr>
          <w:p>
            <w:pPr>
              <w:spacing w:after="60" w:before="60"/>
            </w:pPr>
            <w:r>
              <w:rPr>
                <w:sz w:val="18"/>
              </w:rPr>
              <w:t>Short description</w:t>
            </w:r>
          </w:p>
        </w:tc>
      </w:tr>
      <w:tr>
        <w:trPr>
          <w:cantSplit/>
        </w:trPr>
        <w:tc>
          <w:tcPr>
            <w:tcW w:type="dxa" w:w="3298"/>
          </w:tcPr>
          <w:p>
            <w:pPr>
              <w:spacing w:after="60" w:before="60"/>
            </w:pPr>
            <w:r>
              <w:rPr>
                <w:sz w:val="18"/>
              </w:rPr>
              <w:t>description</w:t>
            </w:r>
          </w:p>
        </w:tc>
        <w:tc>
          <w:tcPr>
            <w:tcW w:type="dxa" w:w="3298"/>
          </w:tcPr>
          <w:p>
            <w:pPr>
              <w:spacing w:after="60" w:before="60"/>
            </w:pPr>
            <w:r>
              <w:rPr>
                <w:sz w:val="18"/>
              </w:rPr>
              <w:t>Multi Line Text</w:t>
            </w:r>
          </w:p>
        </w:tc>
        <w:tc>
          <w:tcPr>
            <w:tcW w:type="dxa" w:w="3298"/>
          </w:tcPr>
          <w:p>
            <w:pPr>
              <w:spacing w:after="60" w:before="60"/>
            </w:pPr>
            <w:r>
              <w:rPr>
                <w:sz w:val="18"/>
              </w:rPr>
              <w:t>Description</w:t>
            </w:r>
          </w:p>
        </w:tc>
      </w:tr>
    </w:tbl>
    <w:p>
      <w:pPr>
        <w:spacing w:after="0"/>
      </w:pPr>
    </w:p>
    <w:p>
      <w:pPr>
        <w:ind w:left="274" w:hanging="274"/>
      </w:pPr>
      <w:r>
        <w:t>4. Set Caller reference qualifier Active is true. Leave producer script empty for these direct field mappings.</w:t>
      </w:r>
    </w:p>
    <w:p>
      <w:pPr>
        <w:ind w:left="274" w:hanging="274"/>
      </w:pPr>
      <w:r>
        <w:t>5. Inspect other mandatory Incident fields required by your instance. Configure appropriate additional questions or approved defaults with the instructor if the producer cannot create a valid record.</w:t>
      </w:r>
    </w:p>
    <w:p>
      <w:pPr>
        <w:ind w:left="274" w:hanging="274"/>
      </w:pPr>
      <w:r>
        <w:t>6. Activate and test as Ravi. Select the pilot caller, enter Cannot sign in to training platform and a fictional description, then submit.</w:t>
      </w:r>
    </w:p>
    <w:p>
      <w:pPr>
        <w:ind w:left="274" w:hanging="274"/>
      </w:pPr>
      <w:r>
        <w:t>7. Open the resulting Incident as an authorized user. Verify Caller, Short description and Description match the submitted answers.</w:t>
      </w:r>
    </w:p>
    <w:p>
      <w:pPr>
        <w:ind w:left="274" w:hanging="274"/>
      </w:pPr>
      <w:r>
        <w:t>8. Record its number and target table. The producer itself is not the ordinary REQ/RITM/SCTASK order chain.</w:t>
      </w:r>
    </w:p>
    <w:p>
      <w:pPr>
        <w:ind w:left="274" w:hanging="274"/>
      </w:pPr>
      <w:r>
        <w:t>9. As Nina, test the saved direct producer link. Confirm the pilot restriction also applies here.</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Evidence</w:t>
            </w:r>
          </w:p>
        </w:tc>
        <w:tc>
          <w:tcPr>
            <w:tcW w:type="dxa" w:w="4946"/>
            <w:shd w:fill="E4EEF0"/>
          </w:tcPr>
          <w:p>
            <w:pPr>
              <w:spacing w:after="60" w:before="60"/>
            </w:pPr>
            <w:r>
              <w:rPr>
                <w:b/>
                <w:sz w:val="18"/>
              </w:rPr>
              <w:t>Actual value</w:t>
            </w:r>
          </w:p>
        </w:tc>
      </w:tr>
      <w:tr>
        <w:trPr>
          <w:cantSplit/>
        </w:trPr>
        <w:tc>
          <w:tcPr>
            <w:tcW w:type="dxa" w:w="4946"/>
          </w:tcPr>
          <w:p>
            <w:pPr>
              <w:spacing w:after="60" w:before="60"/>
            </w:pPr>
            <w:r>
              <w:rPr>
                <w:sz w:val="18"/>
              </w:rPr>
              <w:t>Producer name and sys_id</w:t>
            </w:r>
          </w:p>
        </w:tc>
        <w:tc>
          <w:tcPr>
            <w:tcW w:type="dxa" w:w="4946"/>
          </w:tcPr>
          <w:p>
            <w:pPr>
              <w:spacing w:after="60" w:before="60"/>
            </w:pPr>
            <w:r>
              <w:rPr>
                <w:sz w:val="18"/>
              </w:rPr>
              <w:t>________________________</w:t>
            </w:r>
          </w:p>
        </w:tc>
      </w:tr>
      <w:tr>
        <w:trPr>
          <w:cantSplit/>
        </w:trPr>
        <w:tc>
          <w:tcPr>
            <w:tcW w:type="dxa" w:w="4946"/>
          </w:tcPr>
          <w:p>
            <w:pPr>
              <w:spacing w:after="60" w:before="60"/>
            </w:pPr>
            <w:r>
              <w:rPr>
                <w:sz w:val="18"/>
              </w:rPr>
              <w:t>Created Incident</w:t>
            </w:r>
          </w:p>
        </w:tc>
        <w:tc>
          <w:tcPr>
            <w:tcW w:type="dxa" w:w="4946"/>
          </w:tcPr>
          <w:p>
            <w:pPr>
              <w:spacing w:after="60" w:before="60"/>
            </w:pPr>
            <w:r>
              <w:rPr>
                <w:sz w:val="18"/>
              </w:rPr>
              <w:t>________________________</w:t>
            </w:r>
          </w:p>
        </w:tc>
      </w:tr>
      <w:tr>
        <w:trPr>
          <w:cantSplit/>
        </w:trPr>
        <w:tc>
          <w:tcPr>
            <w:tcW w:type="dxa" w:w="4946"/>
          </w:tcPr>
          <w:p>
            <w:pPr>
              <w:spacing w:after="60" w:before="60"/>
            </w:pPr>
            <w:r>
              <w:rPr>
                <w:sz w:val="18"/>
              </w:rPr>
              <w:t>Mapped values verified</w:t>
            </w:r>
          </w:p>
        </w:tc>
        <w:tc>
          <w:tcPr>
            <w:tcW w:type="dxa" w:w="4946"/>
          </w:tcPr>
          <w:p>
            <w:pPr>
              <w:spacing w:after="60" w:before="60"/>
            </w:pPr>
            <w:r>
              <w:rPr>
                <w:sz w:val="18"/>
              </w:rPr>
              <w:t>________________________</w:t>
            </w:r>
          </w:p>
        </w:tc>
      </w:tr>
      <w:tr>
        <w:trPr>
          <w:cantSplit/>
        </w:trPr>
        <w:tc>
          <w:tcPr>
            <w:tcW w:type="dxa" w:w="4946"/>
          </w:tcPr>
          <w:p>
            <w:pPr>
              <w:spacing w:after="60" w:before="60"/>
            </w:pPr>
            <w:r>
              <w:rPr>
                <w:sz w:val="18"/>
              </w:rPr>
              <w:t>Nina direct-link result</w:t>
            </w:r>
          </w:p>
        </w:tc>
        <w:tc>
          <w:tcPr>
            <w:tcW w:type="dxa" w:w="4946"/>
          </w:tcPr>
          <w:p>
            <w:pPr>
              <w:spacing w:after="60" w:before="60"/>
            </w:pPr>
            <w:r>
              <w:rPr>
                <w:sz w:val="18"/>
              </w:rPr>
              <w:t>________________________</w:t>
            </w:r>
          </w:p>
        </w:tc>
      </w:tr>
    </w:tbl>
    <w:p>
      <w:pPr>
        <w:spacing w:after="0"/>
      </w:pPr>
    </w:p>
    <w:p>
      <w:r>
        <w:t>No external account repair is implemented by creating this Incident. It records the work for the support process.</w:t>
      </w:r>
    </w:p>
    <w:p>
      <w:r>
        <w:br w:type="page"/>
      </w:r>
    </w:p>
    <w:p>
      <w:pPr>
        <w:pStyle w:val="Heading1"/>
      </w:pPr>
      <w:r>
        <w:t>Build and test the starter order guide</w:t>
      </w:r>
    </w:p>
    <w:p>
      <w:pPr>
        <w:pStyle w:val="Heading2"/>
      </w:pPr>
      <w:r>
        <w:t>Guide configuration</w:t>
      </w:r>
    </w:p>
    <w:p>
      <w:pPr>
        <w:ind w:left="274" w:hanging="274"/>
      </w:pPr>
      <w:r>
        <w:t>1. Create Order Guide Training Starter Pack in the same catalog and category. Set Active and Cascade variables selected. Apply NS Training Catalog Access.</w:t>
      </w:r>
    </w:p>
    <w:p>
      <w:pPr>
        <w:ind w:left="274" w:hanging="274"/>
      </w:pPr>
      <w:r>
        <w:t>2. Attach Training Contact Details at order 100. Add mandatory Single Line Text course_name at order 200 and mandatory Yes/No needs_platform_access at order 300.</w:t>
      </w:r>
    </w:p>
    <w:p>
      <w:pPr>
        <w:ind w:left="274" w:hanging="274"/>
      </w:pPr>
      <w:r>
        <w:t>3. Add these Rule Base entries using the guide variables in the condition builder.</w:t>
      </w:r>
    </w:p>
    <w:tbl>
      <w:tblPr>
        <w:tblStyle w:val="TableGrid"/>
        <w:tblW w:type="auto" w:w="0"/>
        <w:tblLayout w:type="autofit"/>
        <w:tblLook w:firstColumn="1" w:firstRow="1" w:lastColumn="0" w:lastRow="0" w:noHBand="0" w:noVBand="1" w:val="04A0"/>
      </w:tblPr>
      <w:tblGrid>
        <w:gridCol w:w="3298"/>
        <w:gridCol w:w="3298"/>
        <w:gridCol w:w="3298"/>
      </w:tblGrid>
      <w:tr>
        <w:trPr>
          <w:cantSplit/>
          <w:tblHeader/>
        </w:trPr>
        <w:tc>
          <w:tcPr>
            <w:tcW w:type="dxa" w:w="3298"/>
            <w:shd w:fill="E4EEF0"/>
          </w:tcPr>
          <w:p>
            <w:pPr>
              <w:spacing w:after="60" w:before="60"/>
            </w:pPr>
            <w:r>
              <w:rPr>
                <w:b/>
                <w:sz w:val="18"/>
              </w:rPr>
              <w:t>Rule</w:t>
            </w:r>
          </w:p>
        </w:tc>
        <w:tc>
          <w:tcPr>
            <w:tcW w:type="dxa" w:w="3298"/>
            <w:shd w:fill="E4EEF0"/>
          </w:tcPr>
          <w:p>
            <w:pPr>
              <w:spacing w:after="60" w:before="60"/>
            </w:pPr>
            <w:r>
              <w:rPr>
                <w:b/>
                <w:sz w:val="18"/>
              </w:rPr>
              <w:t>Included item</w:t>
            </w:r>
          </w:p>
        </w:tc>
        <w:tc>
          <w:tcPr>
            <w:tcW w:type="dxa" w:w="3298"/>
            <w:shd w:fill="E4EEF0"/>
          </w:tcPr>
          <w:p>
            <w:pPr>
              <w:spacing w:after="60" w:before="60"/>
            </w:pPr>
            <w:r>
              <w:rPr>
                <w:b/>
                <w:sz w:val="18"/>
              </w:rPr>
              <w:t>Order</w:t>
            </w:r>
          </w:p>
        </w:tc>
      </w:tr>
      <w:tr>
        <w:trPr>
          <w:cantSplit/>
        </w:trPr>
        <w:tc>
          <w:tcPr>
            <w:tcW w:type="dxa" w:w="3298"/>
          </w:tcPr>
          <w:p>
            <w:pPr>
              <w:spacing w:after="60" w:before="60"/>
            </w:pPr>
            <w:r>
              <w:rPr>
                <w:sz w:val="18"/>
              </w:rPr>
              <w:t>course_name is not empty</w:t>
            </w:r>
          </w:p>
        </w:tc>
        <w:tc>
          <w:tcPr>
            <w:tcW w:type="dxa" w:w="3298"/>
          </w:tcPr>
          <w:p>
            <w:pPr>
              <w:spacing w:after="60" w:before="60"/>
            </w:pPr>
            <w:r>
              <w:rPr>
                <w:sz w:val="18"/>
              </w:rPr>
              <w:t>Request Training</w:t>
            </w:r>
          </w:p>
        </w:tc>
        <w:tc>
          <w:tcPr>
            <w:tcW w:type="dxa" w:w="3298"/>
          </w:tcPr>
          <w:p>
            <w:pPr>
              <w:spacing w:after="60" w:before="60"/>
            </w:pPr>
            <w:r>
              <w:rPr>
                <w:sz w:val="18"/>
              </w:rPr>
              <w:t>100</w:t>
            </w:r>
          </w:p>
        </w:tc>
      </w:tr>
      <w:tr>
        <w:trPr>
          <w:cantSplit/>
        </w:trPr>
        <w:tc>
          <w:tcPr>
            <w:tcW w:type="dxa" w:w="3298"/>
          </w:tcPr>
          <w:p>
            <w:pPr>
              <w:spacing w:after="60" w:before="60"/>
            </w:pPr>
            <w:r>
              <w:rPr>
                <w:sz w:val="18"/>
              </w:rPr>
              <w:t>needs_platform_access is Yes</w:t>
            </w:r>
          </w:p>
        </w:tc>
        <w:tc>
          <w:tcPr>
            <w:tcW w:type="dxa" w:w="3298"/>
          </w:tcPr>
          <w:p>
            <w:pPr>
              <w:spacing w:after="60" w:before="60"/>
            </w:pPr>
            <w:r>
              <w:rPr>
                <w:sz w:val="18"/>
              </w:rPr>
              <w:t>Training Platform Access</w:t>
            </w:r>
          </w:p>
        </w:tc>
        <w:tc>
          <w:tcPr>
            <w:tcW w:type="dxa" w:w="3298"/>
          </w:tcPr>
          <w:p>
            <w:pPr>
              <w:spacing w:after="60" w:before="60"/>
            </w:pPr>
            <w:r>
              <w:rPr>
                <w:sz w:val="18"/>
              </w:rPr>
              <w:t>200</w:t>
            </w:r>
          </w:p>
        </w:tc>
      </w:tr>
    </w:tbl>
    <w:p>
      <w:pPr>
        <w:spacing w:after="0"/>
      </w:pPr>
    </w:p>
    <w:p>
      <w:pPr>
        <w:ind w:left="274" w:hanging="274"/>
      </w:pPr>
      <w:r>
        <w:t>4. Keep required question evaluation enabled. Cascading requires matching internal names and compatible types; similar labels are insufficient.</w:t>
      </w:r>
    </w:p>
    <w:p>
      <w:pPr>
        <w:pStyle w:val="Heading2"/>
      </w:pPr>
      <w:r>
        <w:t>No branch</w:t>
      </w:r>
    </w:p>
    <w:p>
      <w:pPr>
        <w:ind w:left="274" w:hanging="274"/>
      </w:pPr>
      <w:r>
        <w:t>5. As Ravi, enter contact details and a course name, then choose No for platform access. Verify only Request Training is included.</w:t>
      </w:r>
    </w:p>
    <w:p>
      <w:pPr>
        <w:ind w:left="274" w:hanging="274"/>
      </w:pPr>
      <w:r>
        <w:t>6. Complete the included item's remaining mandatory Delivery mode and Business justification answers. Submit and verify one REQ with one RITM.</w:t>
      </w:r>
    </w:p>
    <w:p>
      <w:pPr>
        <w:pStyle w:val="Heading2"/>
      </w:pPr>
      <w:r>
        <w:t>Yes branch</w:t>
      </w:r>
    </w:p>
    <w:p>
      <w:pPr>
        <w:ind w:left="274" w:hanging="274"/>
      </w:pPr>
      <w:r>
        <w:t>7. Repeat with Yes. Verify both items appear. Confirm contact_person and contact_email cascade to both, while course_name cascades to Request Training.</w:t>
      </w:r>
    </w:p>
    <w:p>
      <w:pPr>
        <w:ind w:left="274" w:hanging="274"/>
      </w:pPr>
      <w:r>
        <w:t>8. Complete both items' remaining required answers, including the access justification. Submit and verify one REQ with two RITMs.</w:t>
      </w:r>
    </w:p>
    <w:p>
      <w:pPr>
        <w:ind w:left="274" w:hanging="274"/>
      </w:pPr>
      <w:r>
        <w:t>9. Approve each requested item as Kiran. Confirm each receives its own fulfillment task. The guide bundles items; it does not replace their individual flows.</w:t>
      </w:r>
    </w:p>
    <w:p>
      <w:pPr>
        <w:ind w:left="274" w:hanging="274"/>
      </w:pPr>
      <w:r>
        <w:t>10. As Nina, test the guide and direct links to both included items. A guide does not grant access to otherwise restricted items.</w:t>
      </w:r>
    </w:p>
    <w:p>
      <w:r>
        <w:t>No test REQ: __________ RITM: __________</w:t>
      </w:r>
    </w:p>
    <w:p>
      <w:r>
        <w:t>Yes test REQ: __________ RITMs: __________ and __________</w:t>
      </w:r>
    </w:p>
    <w:p>
      <w:r>
        <w:t>If an item is missing, inspect the rule condition, catalog availability, active state and item criteria before changing the flow.</w:t>
      </w:r>
    </w:p>
    <w:p>
      <w:r>
        <w:br w:type="page"/>
      </w:r>
    </w:p>
    <w:p>
      <w:pPr>
        <w:pStyle w:val="Heading1"/>
      </w:pPr>
      <w:r>
        <w:t>Execute the lifecycle acceptance scenarios</w:t>
      </w:r>
    </w:p>
    <w:p>
      <w:r>
        <w:t>Use a fresh order for each independent test. Preserve identifiers and evidence. Do not manually change Approval to imitate approval processing.</w:t>
      </w:r>
    </w:p>
    <w:tbl>
      <w:tblPr>
        <w:tblStyle w:val="TableGrid"/>
        <w:tblW w:type="auto" w:w="0"/>
        <w:tblLayout w:type="autofit"/>
        <w:tblLook w:firstColumn="1" w:firstRow="1" w:lastColumn="0" w:lastRow="0" w:noHBand="0" w:noVBand="1" w:val="04A0"/>
      </w:tblPr>
      <w:tblGrid>
        <w:gridCol w:w="3298"/>
        <w:gridCol w:w="3298"/>
        <w:gridCol w:w="3298"/>
      </w:tblGrid>
      <w:tr>
        <w:trPr>
          <w:cantSplit/>
          <w:tblHeader/>
        </w:trPr>
        <w:tc>
          <w:tcPr>
            <w:tcW w:type="dxa" w:w="3298"/>
            <w:shd w:fill="E4EEF0"/>
          </w:tcPr>
          <w:p>
            <w:pPr>
              <w:spacing w:after="60" w:before="60"/>
            </w:pPr>
            <w:r>
              <w:rPr>
                <w:b/>
                <w:sz w:val="18"/>
              </w:rPr>
              <w:t>ID</w:t>
            </w:r>
          </w:p>
        </w:tc>
        <w:tc>
          <w:tcPr>
            <w:tcW w:type="dxa" w:w="3298"/>
            <w:shd w:fill="E4EEF0"/>
          </w:tcPr>
          <w:p>
            <w:pPr>
              <w:spacing w:after="60" w:before="60"/>
            </w:pPr>
            <w:r>
              <w:rPr>
                <w:b/>
                <w:sz w:val="18"/>
              </w:rPr>
              <w:t>Action</w:t>
            </w:r>
          </w:p>
        </w:tc>
        <w:tc>
          <w:tcPr>
            <w:tcW w:type="dxa" w:w="3298"/>
            <w:shd w:fill="E4EEF0"/>
          </w:tcPr>
          <w:p>
            <w:pPr>
              <w:spacing w:after="60" w:before="60"/>
            </w:pPr>
            <w:r>
              <w:rPr>
                <w:b/>
                <w:sz w:val="18"/>
              </w:rPr>
              <w:t>Expected outcome</w:t>
            </w:r>
          </w:p>
        </w:tc>
      </w:tr>
      <w:tr>
        <w:trPr>
          <w:cantSplit/>
        </w:trPr>
        <w:tc>
          <w:tcPr>
            <w:tcW w:type="dxa" w:w="3298"/>
          </w:tcPr>
          <w:p>
            <w:pPr>
              <w:spacing w:after="60" w:before="60"/>
            </w:pPr>
            <w:r>
              <w:rPr>
                <w:sz w:val="18"/>
              </w:rPr>
              <w:t>R01</w:t>
            </w:r>
          </w:p>
        </w:tc>
        <w:tc>
          <w:tcPr>
            <w:tcW w:type="dxa" w:w="3298"/>
          </w:tcPr>
          <w:p>
            <w:pPr>
              <w:spacing w:after="60" w:before="60"/>
            </w:pPr>
            <w:r>
              <w:rPr>
                <w:sz w:val="18"/>
              </w:rPr>
              <w:t>Submit and leave approval pending</w:t>
            </w:r>
          </w:p>
        </w:tc>
        <w:tc>
          <w:tcPr>
            <w:tcW w:type="dxa" w:w="3298"/>
          </w:tcPr>
          <w:p>
            <w:pPr>
              <w:spacing w:after="60" w:before="60"/>
            </w:pPr>
            <w:r>
              <w:rPr>
                <w:sz w:val="18"/>
              </w:rPr>
              <w:t>Requested approval and no fulfillment task</w:t>
            </w:r>
          </w:p>
        </w:tc>
      </w:tr>
      <w:tr>
        <w:trPr>
          <w:cantSplit/>
        </w:trPr>
        <w:tc>
          <w:tcPr>
            <w:tcW w:type="dxa" w:w="3298"/>
          </w:tcPr>
          <w:p>
            <w:pPr>
              <w:spacing w:after="60" w:before="60"/>
            </w:pPr>
            <w:r>
              <w:rPr>
                <w:sz w:val="18"/>
              </w:rPr>
              <w:t>R02</w:t>
            </w:r>
          </w:p>
        </w:tc>
        <w:tc>
          <w:tcPr>
            <w:tcW w:type="dxa" w:w="3298"/>
          </w:tcPr>
          <w:p>
            <w:pPr>
              <w:spacing w:after="60" w:before="60"/>
            </w:pPr>
            <w:r>
              <w:rPr>
                <w:sz w:val="18"/>
              </w:rPr>
              <w:t>Approve as Kiran</w:t>
            </w:r>
          </w:p>
        </w:tc>
        <w:tc>
          <w:tcPr>
            <w:tcW w:type="dxa" w:w="3298"/>
          </w:tcPr>
          <w:p>
            <w:pPr>
              <w:spacing w:after="60" w:before="60"/>
            </w:pPr>
            <w:r>
              <w:rPr>
                <w:sz w:val="18"/>
              </w:rPr>
              <w:t>RITM Work in Progress and one active task</w:t>
            </w:r>
          </w:p>
        </w:tc>
      </w:tr>
      <w:tr>
        <w:trPr>
          <w:cantSplit/>
        </w:trPr>
        <w:tc>
          <w:tcPr>
            <w:tcW w:type="dxa" w:w="3298"/>
          </w:tcPr>
          <w:p>
            <w:pPr>
              <w:spacing w:after="60" w:before="60"/>
            </w:pPr>
            <w:r>
              <w:rPr>
                <w:sz w:val="18"/>
              </w:rPr>
              <w:t>R03</w:t>
            </w:r>
          </w:p>
        </w:tc>
        <w:tc>
          <w:tcPr>
            <w:tcW w:type="dxa" w:w="3298"/>
          </w:tcPr>
          <w:p>
            <w:pPr>
              <w:spacing w:after="60" w:before="60"/>
            </w:pPr>
            <w:r>
              <w:rPr>
                <w:sz w:val="18"/>
              </w:rPr>
              <w:t>Complete R02 task</w:t>
            </w:r>
          </w:p>
        </w:tc>
        <w:tc>
          <w:tcPr>
            <w:tcW w:type="dxa" w:w="3298"/>
          </w:tcPr>
          <w:p>
            <w:pPr>
              <w:spacing w:after="60" w:before="60"/>
            </w:pPr>
            <w:r>
              <w:rPr>
                <w:sz w:val="18"/>
              </w:rPr>
              <w:t>RITM Closed Complete and inactive</w:t>
            </w:r>
          </w:p>
        </w:tc>
      </w:tr>
      <w:tr>
        <w:trPr>
          <w:cantSplit/>
        </w:trPr>
        <w:tc>
          <w:tcPr>
            <w:tcW w:type="dxa" w:w="3298"/>
          </w:tcPr>
          <w:p>
            <w:pPr>
              <w:spacing w:after="60" w:before="60"/>
            </w:pPr>
            <w:r>
              <w:rPr>
                <w:sz w:val="18"/>
              </w:rPr>
              <w:t>R04</w:t>
            </w:r>
          </w:p>
        </w:tc>
        <w:tc>
          <w:tcPr>
            <w:tcW w:type="dxa" w:w="3298"/>
          </w:tcPr>
          <w:p>
            <w:pPr>
              <w:spacing w:after="60" w:before="60"/>
            </w:pPr>
            <w:r>
              <w:rPr>
                <w:sz w:val="18"/>
              </w:rPr>
              <w:t>Reject a fresh approval</w:t>
            </w:r>
          </w:p>
        </w:tc>
        <w:tc>
          <w:tcPr>
            <w:tcW w:type="dxa" w:w="3298"/>
          </w:tcPr>
          <w:p>
            <w:pPr>
              <w:spacing w:after="60" w:before="60"/>
            </w:pPr>
            <w:r>
              <w:rPr>
                <w:sz w:val="18"/>
              </w:rPr>
              <w:t>RITM Closed Incomplete inactive and no task</w:t>
            </w:r>
          </w:p>
        </w:tc>
      </w:tr>
      <w:tr>
        <w:trPr>
          <w:cantSplit/>
        </w:trPr>
        <w:tc>
          <w:tcPr>
            <w:tcW w:type="dxa" w:w="3298"/>
          </w:tcPr>
          <w:p>
            <w:pPr>
              <w:spacing w:after="60" w:before="60"/>
            </w:pPr>
            <w:r>
              <w:rPr>
                <w:sz w:val="18"/>
              </w:rPr>
              <w:t>R05</w:t>
            </w:r>
          </w:p>
        </w:tc>
        <w:tc>
          <w:tcPr>
            <w:tcW w:type="dxa" w:w="3298"/>
          </w:tcPr>
          <w:p>
            <w:pPr>
              <w:spacing w:after="60" w:before="60"/>
            </w:pPr>
            <w:r>
              <w:rPr>
                <w:sz w:val="18"/>
              </w:rPr>
              <w:t>Approve then close task incomplete</w:t>
            </w:r>
          </w:p>
        </w:tc>
        <w:tc>
          <w:tcPr>
            <w:tcW w:type="dxa" w:w="3298"/>
          </w:tcPr>
          <w:p>
            <w:pPr>
              <w:spacing w:after="60" w:before="60"/>
            </w:pPr>
            <w:r>
              <w:rPr>
                <w:sz w:val="18"/>
              </w:rPr>
              <w:t>RITM Closed Incomplete and inactive</w:t>
            </w:r>
          </w:p>
        </w:tc>
      </w:tr>
      <w:tr>
        <w:trPr>
          <w:cantSplit/>
        </w:trPr>
        <w:tc>
          <w:tcPr>
            <w:tcW w:type="dxa" w:w="3298"/>
          </w:tcPr>
          <w:p>
            <w:pPr>
              <w:spacing w:after="60" w:before="60"/>
            </w:pPr>
            <w:r>
              <w:rPr>
                <w:sz w:val="18"/>
              </w:rPr>
              <w:t>R06</w:t>
            </w:r>
          </w:p>
        </w:tc>
        <w:tc>
          <w:tcPr>
            <w:tcW w:type="dxa" w:w="3298"/>
          </w:tcPr>
          <w:p>
            <w:pPr>
              <w:spacing w:after="60" w:before="60"/>
            </w:pPr>
            <w:r>
              <w:rPr>
                <w:sz w:val="18"/>
              </w:rPr>
              <w:t>Submit producer</w:t>
            </w:r>
          </w:p>
        </w:tc>
        <w:tc>
          <w:tcPr>
            <w:tcW w:type="dxa" w:w="3298"/>
          </w:tcPr>
          <w:p>
            <w:pPr>
              <w:spacing w:after="60" w:before="60"/>
            </w:pPr>
            <w:r>
              <w:rPr>
                <w:sz w:val="18"/>
              </w:rPr>
              <w:t>Incident with mapped values</w:t>
            </w:r>
          </w:p>
        </w:tc>
      </w:tr>
      <w:tr>
        <w:trPr>
          <w:cantSplit/>
        </w:trPr>
        <w:tc>
          <w:tcPr>
            <w:tcW w:type="dxa" w:w="3298"/>
          </w:tcPr>
          <w:p>
            <w:pPr>
              <w:spacing w:after="60" w:before="60"/>
            </w:pPr>
            <w:r>
              <w:rPr>
                <w:sz w:val="18"/>
              </w:rPr>
              <w:t>R07</w:t>
            </w:r>
          </w:p>
        </w:tc>
        <w:tc>
          <w:tcPr>
            <w:tcW w:type="dxa" w:w="3298"/>
          </w:tcPr>
          <w:p>
            <w:pPr>
              <w:spacing w:after="60" w:before="60"/>
            </w:pPr>
            <w:r>
              <w:rPr>
                <w:sz w:val="18"/>
              </w:rPr>
              <w:t>Guide with No</w:t>
            </w:r>
          </w:p>
        </w:tc>
        <w:tc>
          <w:tcPr>
            <w:tcW w:type="dxa" w:w="3298"/>
          </w:tcPr>
          <w:p>
            <w:pPr>
              <w:spacing w:after="60" w:before="60"/>
            </w:pPr>
            <w:r>
              <w:rPr>
                <w:sz w:val="18"/>
              </w:rPr>
              <w:t>One REQ and one RITM</w:t>
            </w:r>
          </w:p>
        </w:tc>
      </w:tr>
      <w:tr>
        <w:trPr>
          <w:cantSplit/>
        </w:trPr>
        <w:tc>
          <w:tcPr>
            <w:tcW w:type="dxa" w:w="3298"/>
          </w:tcPr>
          <w:p>
            <w:pPr>
              <w:spacing w:after="60" w:before="60"/>
            </w:pPr>
            <w:r>
              <w:rPr>
                <w:sz w:val="18"/>
              </w:rPr>
              <w:t>R08</w:t>
            </w:r>
          </w:p>
        </w:tc>
        <w:tc>
          <w:tcPr>
            <w:tcW w:type="dxa" w:w="3298"/>
          </w:tcPr>
          <w:p>
            <w:pPr>
              <w:spacing w:after="60" w:before="60"/>
            </w:pPr>
            <w:r>
              <w:rPr>
                <w:sz w:val="18"/>
              </w:rPr>
              <w:t>Guide with Yes</w:t>
            </w:r>
          </w:p>
        </w:tc>
        <w:tc>
          <w:tcPr>
            <w:tcW w:type="dxa" w:w="3298"/>
          </w:tcPr>
          <w:p>
            <w:pPr>
              <w:spacing w:after="60" w:before="60"/>
            </w:pPr>
            <w:r>
              <w:rPr>
                <w:sz w:val="18"/>
              </w:rPr>
              <w:t>One REQ and two RITMs</w:t>
            </w:r>
          </w:p>
        </w:tc>
      </w:tr>
      <w:tr>
        <w:trPr>
          <w:cantSplit/>
        </w:trPr>
        <w:tc>
          <w:tcPr>
            <w:tcW w:type="dxa" w:w="3298"/>
          </w:tcPr>
          <w:p>
            <w:pPr>
              <w:spacing w:after="60" w:before="60"/>
            </w:pPr>
            <w:r>
              <w:rPr>
                <w:sz w:val="18"/>
              </w:rPr>
              <w:t>R09</w:t>
            </w:r>
          </w:p>
        </w:tc>
        <w:tc>
          <w:tcPr>
            <w:tcW w:type="dxa" w:w="3298"/>
          </w:tcPr>
          <w:p>
            <w:pPr>
              <w:spacing w:after="60" w:before="60"/>
            </w:pPr>
            <w:r>
              <w:rPr>
                <w:sz w:val="18"/>
              </w:rPr>
              <w:t>Use Nina on direct entries</w:t>
            </w:r>
          </w:p>
        </w:tc>
        <w:tc>
          <w:tcPr>
            <w:tcW w:type="dxa" w:w="3298"/>
          </w:tcPr>
          <w:p>
            <w:pPr>
              <w:spacing w:after="60" w:before="60"/>
            </w:pPr>
            <w:r>
              <w:rPr>
                <w:sz w:val="18"/>
              </w:rPr>
              <w:t>Cannot order restricted pilot entries</w:t>
            </w:r>
          </w:p>
        </w:tc>
      </w:tr>
    </w:tbl>
    <w:p>
      <w:pPr>
        <w:spacing w:after="0"/>
      </w:pPr>
    </w:p>
    <w:p>
      <w:pPr>
        <w:ind w:left="274" w:hanging="274"/>
      </w:pPr>
      <w:r>
        <w:t>1. Execute R01 first and inspect the waiting flow. Then complete R02 and R03 using the same item.</w:t>
      </w:r>
    </w:p>
    <w:p>
      <w:pPr>
        <w:ind w:left="274" w:hanging="274"/>
      </w:pPr>
      <w:r>
        <w:t>2. Run R04 and R05 separately. Verify the failed fulfillment path does not falsely mark an item complete.</w:t>
      </w:r>
    </w:p>
    <w:p>
      <w:pPr>
        <w:ind w:left="274" w:hanging="274"/>
      </w:pPr>
      <w:r>
        <w:t>3. Record the producer and guide results from the earlier pages against R06 to R09.</w:t>
      </w:r>
    </w:p>
    <w:p>
      <w:pPr>
        <w:ind w:left="274" w:hanging="274"/>
      </w:pPr>
      <w:r>
        <w:t>4. If a task appears before approval, check branch placement and competing processes. If the RITM fails to close, inspect the wait, fresh lookup and update action.</w:t>
      </w:r>
    </w:p>
    <w:p>
      <w:pPr>
        <w:ind w:left="274" w:hanging="274"/>
      </w:pPr>
      <w:r>
        <w:t>5. Compare each Catalog Task's Requested Item reference with its RITM's Request reference. Record the resulting hierarchy.</w:t>
      </w:r>
    </w:p>
    <w:p>
      <w:pPr>
        <w:ind w:left="274" w:hanging="274"/>
      </w:pPr>
      <w:r>
        <w:t>6. Keep these functional test orders separate from the controlled five-record dataset created for Day 15 reporting.</w:t>
      </w:r>
    </w:p>
    <w:p>
      <w:pPr>
        <w:pStyle w:val="Heading2"/>
      </w:pPr>
      <w:r>
        <w:t>Handover</w:t>
      </w:r>
    </w:p>
    <w:p>
      <w:r>
        <w:t>Save the active flow reference, catalog item associations, record producer mappings, guide rules and the nine test outcomes. List any role or process blocker for the instructor.</w:t>
      </w:r>
    </w:p>
    <w:p>
      <w:r>
        <w:t>Remember the custom NS Training Task is a different table from Catalog Task. Nothing in this lab synchronizes the custom register with the catalog path.</w:t>
      </w:r>
    </w:p>
    <w:p>
      <w:r>
        <w:br w:type="page"/>
      </w:r>
    </w:p>
    <w:p>
      <w:pPr>
        <w:pStyle w:val="Heading1"/>
      </w:pPr>
      <w:r>
        <w:t>Completion checks and troubleshooting</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Check</w:t>
            </w:r>
          </w:p>
        </w:tc>
        <w:tc>
          <w:tcPr>
            <w:tcW w:type="dxa" w:w="4946"/>
            <w:shd w:fill="E4EEF0"/>
          </w:tcPr>
          <w:p>
            <w:pPr>
              <w:spacing w:after="60" w:before="60"/>
            </w:pPr>
            <w:r>
              <w:rPr>
                <w:b/>
                <w:sz w:val="18"/>
              </w:rPr>
              <w:t>Result and evidence</w:t>
            </w:r>
          </w:p>
        </w:tc>
      </w:tr>
      <w:tr>
        <w:trPr>
          <w:cantSplit/>
        </w:trPr>
        <w:tc>
          <w:tcPr>
            <w:tcW w:type="dxa" w:w="4946"/>
          </w:tcPr>
          <w:p>
            <w:pPr>
              <w:spacing w:after="60" w:before="60"/>
            </w:pPr>
            <w:r>
              <w:rPr>
                <w:sz w:val="18"/>
              </w:rPr>
              <w:t>Pending approved rejected and incomplete paths tested</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One active task created only after item approval</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Producer creates the correct Incident values</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Guide No creates one RITM and Yes creates two</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Pilot eligibility tested by ordinary accounts</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Record identifiers and execution evidence saved</w:t>
            </w:r>
          </w:p>
        </w:tc>
        <w:tc>
          <w:tcPr>
            <w:tcW w:type="dxa" w:w="4946"/>
          </w:tcPr>
          <w:p>
            <w:pPr>
              <w:spacing w:after="60" w:before="60"/>
            </w:pPr>
            <w:r>
              <w:rPr>
                <w:sz w:val="18"/>
              </w:rPr>
              <w:t>__________________</w:t>
            </w:r>
          </w:p>
        </w:tc>
      </w:tr>
    </w:tbl>
    <w:p>
      <w:pPr>
        <w:spacing w:after="0"/>
      </w:pPr>
    </w:p>
    <w:p>
      <w:pPr>
        <w:pStyle w:val="Heading2"/>
      </w:pPr>
      <w:r>
        <w:t>If something does not work</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Symptom</w:t>
            </w:r>
          </w:p>
        </w:tc>
        <w:tc>
          <w:tcPr>
            <w:tcW w:type="dxa" w:w="4946"/>
            <w:shd w:fill="E4EEF0"/>
          </w:tcPr>
          <w:p>
            <w:pPr>
              <w:spacing w:after="60" w:before="60"/>
            </w:pPr>
            <w:r>
              <w:rPr>
                <w:b/>
                <w:sz w:val="18"/>
              </w:rPr>
              <w:t>First check</w:t>
            </w:r>
          </w:p>
        </w:tc>
      </w:tr>
      <w:tr>
        <w:trPr>
          <w:cantSplit/>
        </w:trPr>
        <w:tc>
          <w:tcPr>
            <w:tcW w:type="dxa" w:w="4946"/>
          </w:tcPr>
          <w:p>
            <w:pPr>
              <w:spacing w:after="60" w:before="60"/>
            </w:pPr>
            <w:r>
              <w:rPr>
                <w:sz w:val="18"/>
              </w:rPr>
              <w:t>No flow executes</w:t>
            </w:r>
          </w:p>
        </w:tc>
        <w:tc>
          <w:tcPr>
            <w:tcW w:type="dxa" w:w="4946"/>
          </w:tcPr>
          <w:p>
            <w:pPr>
              <w:spacing w:after="60" w:before="60"/>
            </w:pPr>
            <w:r>
              <w:rPr>
                <w:sz w:val="18"/>
              </w:rPr>
              <w:t>Check activated version, Service Catalog trigger, item association and competing processes.</w:t>
            </w:r>
          </w:p>
        </w:tc>
      </w:tr>
      <w:tr>
        <w:trPr>
          <w:cantSplit/>
        </w:trPr>
        <w:tc>
          <w:tcPr>
            <w:tcW w:type="dxa" w:w="4946"/>
          </w:tcPr>
          <w:p>
            <w:pPr>
              <w:spacing w:after="60" w:before="60"/>
            </w:pPr>
            <w:r>
              <w:rPr>
                <w:sz w:val="18"/>
              </w:rPr>
              <w:t>Task closes but item remains active</w:t>
            </w:r>
          </w:p>
        </w:tc>
        <w:tc>
          <w:tcPr>
            <w:tcW w:type="dxa" w:w="4946"/>
          </w:tcPr>
          <w:p>
            <w:pPr>
              <w:spacing w:after="60" w:before="60"/>
            </w:pPr>
            <w:r>
              <w:rPr>
                <w:sz w:val="18"/>
              </w:rPr>
              <w:t>Inspect Wait result, fresh task lookup and the correct trigger-record update.</w:t>
            </w:r>
          </w:p>
        </w:tc>
      </w:tr>
      <w:tr>
        <w:trPr>
          <w:cantSplit/>
        </w:trPr>
        <w:tc>
          <w:tcPr>
            <w:tcW w:type="dxa" w:w="4946"/>
          </w:tcPr>
          <w:p>
            <w:pPr>
              <w:spacing w:after="60" w:before="60"/>
            </w:pPr>
            <w:r>
              <w:rPr>
                <w:sz w:val="18"/>
              </w:rPr>
              <w:t>Guide answers do not cascade</w:t>
            </w:r>
          </w:p>
        </w:tc>
        <w:tc>
          <w:tcPr>
            <w:tcW w:type="dxa" w:w="4946"/>
          </w:tcPr>
          <w:p>
            <w:pPr>
              <w:spacing w:after="60" w:before="60"/>
            </w:pPr>
            <w:r>
              <w:rPr>
                <w:sz w:val="18"/>
              </w:rPr>
              <w:t>Check internal variable names, compatible types and Cascade variables.</w:t>
            </w:r>
          </w:p>
        </w:tc>
      </w:tr>
    </w:tbl>
    <w:p>
      <w:pPr>
        <w:spacing w:after="0"/>
      </w:pPr>
    </w:p>
    <w:p>
      <w:pPr>
        <w:pStyle w:val="Heading2"/>
      </w:pPr>
      <w:r>
        <w:t>Review your understanding</w:t>
      </w:r>
    </w:p>
    <w:p>
      <w:r>
        <w:rPr>
          <w:b/>
        </w:rPr>
        <w:t xml:space="preserve">Can a REQ contain several RITMs? </w:t>
      </w:r>
      <w:r>
        <w:t>Yes. The guide Yes test demonstrates two requested items under one request.</w:t>
      </w:r>
    </w:p>
    <w:p>
      <w:r>
        <w:rPr>
          <w:b/>
        </w:rPr>
        <w:t xml:space="preserve">Does an inactive task always mean success? </w:t>
      </w:r>
      <w:r>
        <w:t>No. Check its final state before deciding the RITM outcome.</w:t>
      </w:r>
    </w:p>
    <w:p>
      <w:pPr>
        <w:pStyle w:val="Heading2"/>
      </w:pPr>
      <w:r>
        <w:t>Submission</w:t>
      </w:r>
    </w:p>
    <w:p>
      <w:r>
        <w:t>Submit this completed document, the requested screenshots and actual record references. Keep working configuration for later days. Document any optional test you did not run and any unresolved blocker.</w:t>
      </w:r>
    </w:p>
    <w:p>
      <w:r>
        <w:t>Overall result: __________  Reviewer: __________  Date: __________</w:t>
        <w:br/>
        <w:t>Open issue and next action: __________________________________________</w:t>
      </w:r>
    </w:p>
    <w:p>
      <w:pPr>
        <w:pStyle w:val="Heading2"/>
      </w:pPr>
      <w:r>
        <w:t>Official reference topics</w:t>
      </w:r>
    </w:p>
    <w:p>
      <w:r>
        <w:t>Select Australia in the documentation release selector. Generic links may open a newer release.</w:t>
      </w:r>
    </w:p>
    <w:p>
      <w:pPr>
        <w:spacing w:after="60"/>
      </w:pPr>
      <w:r>
        <w:rPr>
          <w:sz w:val="16"/>
        </w:rPr>
        <w:t>https://www.servicenow.com/docs/r/build-workflows/workflow-studio/create-catalog-task-flow-designer.html</w:t>
      </w:r>
    </w:p>
    <w:sectPr w:rsidR="00FC693F" w:rsidRPr="0006063C" w:rsidSect="00034616">
      <w:headerReference w:type="default" r:id="rId9"/>
      <w:footerReference w:type="default" r:id="rId10"/>
      <w:pgSz w:w="11909" w:h="16834"/>
      <w:pgMar w:top="936" w:right="1008" w:bottom="893"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Day 14 Hands On Lab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26D78"/>
        <w:sz w:val="16"/>
      </w:rPr>
      <w:t>NS ServiceNow Blog    45 Day ServiceNow Master Class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Calibri" w:hAnsi="Calibri"/>
      <w:b/>
      <w:bCs/>
      <w:color w:val="163E4B"/>
      <w:sz w:val="34"/>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Calibri" w:hAnsi="Calibri"/>
      <w:b/>
      <w:bCs/>
      <w:color w:val="163E4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0"/>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after="120" w:line="252" w:lineRule="auto"/>
      <w:ind w:left="720"/>
      <w:contextualSpacing/>
    </w:pPr>
    <w:rPr>
      <w:rFonts w:ascii="Calibri" w:hAnsi="Calibri"/>
      <w:sz w:val="21"/>
    </w:rPr>
  </w:style>
  <w:style w:type="paragraph" w:styleId="BodyText">
    <w:name w:val="Body Text"/>
    <w:basedOn w:val="Normal"/>
    <w:link w:val="BodyTextChar"/>
    <w:uiPriority w:val="99"/>
    <w:unhideWhenUsed/>
    <w:rsid w:val="00AA1D8D"/>
    <w:pPr>
      <w:spacing w:after="120" w:line="252" w:lineRule="auto"/>
    </w:pPr>
    <w:rPr>
      <w:rFonts w:ascii="Calibri" w:hAnsi="Calibri"/>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 14 Requests Approvals Fulfillment and Record Producers Hands On Lab</dc:title>
  <dc:subject/>
  <dc:creator>NS ServiceNow Blog</dc:creator>
  <cp:keywords/>
  <dc:description>generated by python-docx</dc:description>
  <cp:lastModifiedBy/>
  <cp:revision>1</cp:revision>
  <dcterms:created xsi:type="dcterms:W3CDTF">2013-12-23T23:15:00Z</dcterms:created>
  <dcterms:modified xsi:type="dcterms:W3CDTF">2013-12-23T23:15:00Z</dcterms:modified>
  <cp:category/>
</cp:coreProperties>
</file>